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3"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March 2, 2026</w:t>
      </w:r>
    </w:p>
    <w:p>
      <w:pPr>
        <w:spacing w:after="0" w:line="5" w:lineRule="exact"/>
        <w:rPr>
          <w:sz w:val="24"/>
          <w:szCs w:val="24"/>
          <w:color w:val="auto"/>
        </w:rPr>
      </w:pPr>
    </w:p>
    <w:p>
      <w:pPr>
        <w:ind w:left="8640"/>
        <w:spacing w:after="0"/>
        <w:rPr>
          <w:sz w:val="20"/>
          <w:szCs w:val="20"/>
          <w:color w:val="auto"/>
        </w:rPr>
      </w:pPr>
      <w:r>
        <w:rPr>
          <w:rFonts w:ascii="Times New Roman" w:cs="Times New Roman" w:eastAsia="Times New Roman" w:hAnsi="Times New Roman"/>
          <w:sz w:val="11"/>
          <w:szCs w:val="11"/>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812800</wp:posOffset>
            </wp:positionH>
            <wp:positionV relativeFrom="paragraph">
              <wp:posOffset>52070</wp:posOffset>
            </wp:positionV>
            <wp:extent cx="55492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49265" cy="6985"/>
                    </a:xfrm>
                    <a:prstGeom prst="rect">
                      <a:avLst/>
                    </a:prstGeom>
                    <a:noFill/>
                  </pic:spPr>
                </pic:pic>
              </a:graphicData>
            </a:graphic>
          </wp:anchor>
        </w:drawing>
        <w:drawing>
          <wp:anchor simplePos="0" relativeHeight="251657728" behindDoc="1" locked="0" layoutInCell="0" allowOverlap="1">
            <wp:simplePos x="0" y="0"/>
            <wp:positionH relativeFrom="column">
              <wp:posOffset>812800</wp:posOffset>
            </wp:positionH>
            <wp:positionV relativeFrom="paragraph">
              <wp:posOffset>86360</wp:posOffset>
            </wp:positionV>
            <wp:extent cx="55492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49265" cy="6985"/>
                    </a:xfrm>
                    <a:prstGeom prst="rect">
                      <a:avLst/>
                    </a:prstGeom>
                    <a:noFill/>
                  </pic:spPr>
                </pic:pic>
              </a:graphicData>
            </a:graphic>
          </wp:anchor>
        </w:drawing>
      </w:r>
    </w:p>
    <w:p>
      <w:pPr>
        <w:spacing w:after="0" w:line="15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3"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3002280</wp:posOffset>
            </wp:positionH>
            <wp:positionV relativeFrom="paragraph">
              <wp:posOffset>121285</wp:posOffset>
            </wp:positionV>
            <wp:extent cx="11626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2685" cy="6985"/>
                    </a:xfrm>
                    <a:prstGeom prst="rect">
                      <a:avLst/>
                    </a:prstGeom>
                    <a:noFill/>
                  </pic:spPr>
                </pic:pic>
              </a:graphicData>
            </a:graphic>
          </wp:anchor>
        </w:drawing>
      </w:r>
    </w:p>
    <w:p>
      <w:pPr>
        <w:spacing w:after="0" w:line="24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FORM S-3</w:t>
      </w:r>
    </w:p>
    <w:p>
      <w:pPr>
        <w:spacing w:after="0" w:line="3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REGISTRATION STATEMENT</w:t>
      </w:r>
    </w:p>
    <w:p>
      <w:pPr>
        <w:jc w:val="center"/>
        <w:ind w:right="-1140"/>
        <w:spacing w:after="0" w:line="236" w:lineRule="auto"/>
        <w:rPr>
          <w:sz w:val="20"/>
          <w:szCs w:val="20"/>
          <w:color w:val="auto"/>
        </w:rPr>
      </w:pPr>
      <w:r>
        <w:rPr>
          <w:rFonts w:ascii="Times New Roman" w:cs="Times New Roman" w:eastAsia="Times New Roman" w:hAnsi="Times New Roman"/>
          <w:sz w:val="17"/>
          <w:szCs w:val="17"/>
          <w:b w:val="1"/>
          <w:bCs w:val="1"/>
          <w:i w:val="1"/>
          <w:iCs w:val="1"/>
          <w:color w:val="auto"/>
        </w:rPr>
        <w:t>UNDER</w:t>
      </w:r>
    </w:p>
    <w:p>
      <w:pPr>
        <w:spacing w:after="0" w:line="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3002280</wp:posOffset>
            </wp:positionH>
            <wp:positionV relativeFrom="paragraph">
              <wp:posOffset>122555</wp:posOffset>
            </wp:positionV>
            <wp:extent cx="11626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2685" cy="6985"/>
                    </a:xfrm>
                    <a:prstGeom prst="rect">
                      <a:avLst/>
                    </a:prstGeom>
                    <a:noFill/>
                  </pic:spPr>
                </pic:pic>
              </a:graphicData>
            </a:graphic>
          </wp:anchor>
        </w:drawing>
      </w:r>
    </w:p>
    <w:p>
      <w:pPr>
        <w:spacing w:after="0" w:line="23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9"/>
          <w:szCs w:val="29"/>
          <w:b w:val="1"/>
          <w:bCs w:val="1"/>
          <w:color w:val="auto"/>
        </w:rPr>
        <w:t>Alignment Healthcare, Inc.</w:t>
      </w:r>
    </w:p>
    <w:p>
      <w:pPr>
        <w:spacing w:after="0" w:line="2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3002280</wp:posOffset>
            </wp:positionH>
            <wp:positionV relativeFrom="paragraph">
              <wp:posOffset>113665</wp:posOffset>
            </wp:positionV>
            <wp:extent cx="11626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2685" cy="6985"/>
                    </a:xfrm>
                    <a:prstGeom prst="rect">
                      <a:avLst/>
                    </a:prstGeom>
                    <a:noFill/>
                  </pic:spPr>
                </pic:pic>
              </a:graphicData>
            </a:graphic>
          </wp:anchor>
        </w:drawing>
      </w:r>
    </w:p>
    <w:p>
      <w:pPr>
        <w:spacing w:after="0" w:line="274" w:lineRule="exact"/>
        <w:rPr>
          <w:sz w:val="24"/>
          <w:szCs w:val="24"/>
          <w:color w:val="auto"/>
        </w:rPr>
      </w:pPr>
    </w:p>
    <w:tbl>
      <w:tblPr>
        <w:tblLayout w:type="fixed"/>
        <w:tblInd w:w="2820" w:type="dxa"/>
        <w:tblCellMar>
          <w:top w:w="0" w:type="dxa"/>
          <w:left w:w="0" w:type="dxa"/>
          <w:bottom w:w="0" w:type="dxa"/>
          <w:right w:w="0" w:type="dxa"/>
        </w:tblCellMar>
      </w:tblPr>
      <w:tr>
        <w:trPr>
          <w:trHeight w:val="126"/>
        </w:trPr>
        <w:tc>
          <w:tcPr>
            <w:tcW w:w="3000" w:type="dxa"/>
            <w:vAlign w:val="bottom"/>
          </w:tcPr>
          <w:p>
            <w:pPr>
              <w:jc w:val="center"/>
              <w:ind w:right="1608"/>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2460" w:type="dxa"/>
            <w:vAlign w:val="bottom"/>
          </w:tcPr>
          <w:p>
            <w:pPr>
              <w:jc w:val="center"/>
              <w:ind w:left="1628"/>
              <w:spacing w:after="0"/>
              <w:rPr>
                <w:sz w:val="20"/>
                <w:szCs w:val="20"/>
                <w:color w:val="auto"/>
              </w:rPr>
            </w:pPr>
            <w:r>
              <w:rPr>
                <w:rFonts w:ascii="Times New Roman" w:cs="Times New Roman" w:eastAsia="Times New Roman" w:hAnsi="Times New Roman"/>
                <w:sz w:val="11"/>
                <w:szCs w:val="11"/>
                <w:b w:val="1"/>
                <w:bCs w:val="1"/>
                <w:color w:val="auto"/>
              </w:rPr>
              <w:t>46-5596242</w:t>
            </w:r>
          </w:p>
        </w:tc>
      </w:tr>
      <w:tr>
        <w:trPr>
          <w:trHeight w:val="107"/>
        </w:trPr>
        <w:tc>
          <w:tcPr>
            <w:tcW w:w="3000" w:type="dxa"/>
            <w:vAlign w:val="bottom"/>
          </w:tcPr>
          <w:p>
            <w:pPr>
              <w:jc w:val="center"/>
              <w:ind w:right="1628"/>
              <w:spacing w:after="0" w:line="107" w:lineRule="exact"/>
              <w:rPr>
                <w:sz w:val="20"/>
                <w:szCs w:val="20"/>
                <w:color w:val="auto"/>
              </w:rPr>
            </w:pPr>
            <w:r>
              <w:rPr>
                <w:rFonts w:ascii="Times New Roman" w:cs="Times New Roman" w:eastAsia="Times New Roman" w:hAnsi="Times New Roman"/>
                <w:sz w:val="10"/>
                <w:szCs w:val="10"/>
                <w:b w:val="1"/>
                <w:bCs w:val="1"/>
                <w:color w:val="auto"/>
                <w:w w:val="99"/>
              </w:rPr>
              <w:t>(State or other jurisdiction of</w:t>
            </w:r>
          </w:p>
        </w:tc>
        <w:tc>
          <w:tcPr>
            <w:tcW w:w="2460" w:type="dxa"/>
            <w:vAlign w:val="bottom"/>
          </w:tcPr>
          <w:p>
            <w:pPr>
              <w:jc w:val="center"/>
              <w:ind w:left="1648"/>
              <w:spacing w:after="0" w:line="107" w:lineRule="exact"/>
              <w:rPr>
                <w:sz w:val="20"/>
                <w:szCs w:val="20"/>
                <w:color w:val="auto"/>
              </w:rPr>
            </w:pPr>
            <w:r>
              <w:rPr>
                <w:rFonts w:ascii="Times New Roman" w:cs="Times New Roman" w:eastAsia="Times New Roman" w:hAnsi="Times New Roman"/>
                <w:sz w:val="10"/>
                <w:szCs w:val="10"/>
                <w:b w:val="1"/>
                <w:bCs w:val="1"/>
                <w:color w:val="auto"/>
                <w:w w:val="99"/>
              </w:rPr>
              <w:t>(I.R.S. Employer</w:t>
            </w:r>
          </w:p>
        </w:tc>
      </w:tr>
      <w:tr>
        <w:trPr>
          <w:trHeight w:val="131"/>
        </w:trPr>
        <w:tc>
          <w:tcPr>
            <w:tcW w:w="3000" w:type="dxa"/>
            <w:vAlign w:val="bottom"/>
          </w:tcPr>
          <w:p>
            <w:pPr>
              <w:jc w:val="center"/>
              <w:ind w:right="1628"/>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tc>
        <w:tc>
          <w:tcPr>
            <w:tcW w:w="2460" w:type="dxa"/>
            <w:vAlign w:val="bottom"/>
          </w:tcPr>
          <w:p>
            <w:pPr>
              <w:jc w:val="center"/>
              <w:ind w:left="1628"/>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6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1100 W. Town and Country Road</w:t>
      </w:r>
    </w:p>
    <w:p>
      <w:pPr>
        <w:jc w:val="center"/>
        <w:ind w:right="-1140"/>
        <w:spacing w:after="0" w:line="233" w:lineRule="auto"/>
        <w:rPr>
          <w:sz w:val="20"/>
          <w:szCs w:val="20"/>
          <w:color w:val="auto"/>
        </w:rPr>
      </w:pPr>
      <w:r>
        <w:rPr>
          <w:rFonts w:ascii="Times New Roman" w:cs="Times New Roman" w:eastAsia="Times New Roman" w:hAnsi="Times New Roman"/>
          <w:sz w:val="11"/>
          <w:szCs w:val="11"/>
          <w:b w:val="1"/>
          <w:bCs w:val="1"/>
          <w:color w:val="auto"/>
        </w:rPr>
        <w:t>Suite 1600</w:t>
      </w:r>
    </w:p>
    <w:p>
      <w:pPr>
        <w:jc w:val="center"/>
        <w:ind w:right="-1140"/>
        <w:spacing w:after="0" w:line="224" w:lineRule="auto"/>
        <w:rPr>
          <w:sz w:val="20"/>
          <w:szCs w:val="20"/>
          <w:color w:val="auto"/>
        </w:rPr>
      </w:pPr>
      <w:r>
        <w:rPr>
          <w:rFonts w:ascii="Times New Roman" w:cs="Times New Roman" w:eastAsia="Times New Roman" w:hAnsi="Times New Roman"/>
          <w:sz w:val="11"/>
          <w:szCs w:val="11"/>
          <w:b w:val="1"/>
          <w:bCs w:val="1"/>
          <w:color w:val="auto"/>
        </w:rPr>
        <w:t>Orange, California 92868</w:t>
      </w:r>
    </w:p>
    <w:p>
      <w:pPr>
        <w:jc w:val="center"/>
        <w:ind w:right="-1140"/>
        <w:spacing w:after="0" w:line="223" w:lineRule="auto"/>
        <w:rPr>
          <w:sz w:val="20"/>
          <w:szCs w:val="20"/>
          <w:color w:val="auto"/>
        </w:rPr>
      </w:pPr>
      <w:r>
        <w:rPr>
          <w:rFonts w:ascii="Times New Roman" w:cs="Times New Roman" w:eastAsia="Times New Roman" w:hAnsi="Times New Roman"/>
          <w:sz w:val="11"/>
          <w:szCs w:val="11"/>
          <w:b w:val="1"/>
          <w:bCs w:val="1"/>
          <w:color w:val="auto"/>
        </w:rPr>
        <w:t>1 844-310-2247</w:t>
      </w: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3002280</wp:posOffset>
            </wp:positionH>
            <wp:positionV relativeFrom="paragraph">
              <wp:posOffset>113665</wp:posOffset>
            </wp:positionV>
            <wp:extent cx="11626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2685" cy="6985"/>
                    </a:xfrm>
                    <a:prstGeom prst="rect">
                      <a:avLst/>
                    </a:prstGeom>
                    <a:noFill/>
                  </pic:spPr>
                </pic:pic>
              </a:graphicData>
            </a:graphic>
          </wp:anchor>
        </w:drawing>
      </w:r>
    </w:p>
    <w:p>
      <w:pPr>
        <w:spacing w:after="0" w:line="23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John Kao</w:t>
      </w:r>
    </w:p>
    <w:p>
      <w:pPr>
        <w:jc w:val="center"/>
        <w:ind w:right="-1140"/>
        <w:spacing w:after="0" w:line="233" w:lineRule="auto"/>
        <w:rPr>
          <w:sz w:val="20"/>
          <w:szCs w:val="20"/>
          <w:color w:val="auto"/>
        </w:rPr>
      </w:pPr>
      <w:r>
        <w:rPr>
          <w:rFonts w:ascii="Times New Roman" w:cs="Times New Roman" w:eastAsia="Times New Roman" w:hAnsi="Times New Roman"/>
          <w:sz w:val="11"/>
          <w:szCs w:val="11"/>
          <w:b w:val="1"/>
          <w:bCs w:val="1"/>
          <w:color w:val="auto"/>
        </w:rPr>
        <w:t>Chief Executive Officer</w:t>
      </w:r>
    </w:p>
    <w:p>
      <w:pPr>
        <w:jc w:val="center"/>
        <w:ind w:right="-1140"/>
        <w:spacing w:after="0" w:line="224" w:lineRule="auto"/>
        <w:rPr>
          <w:sz w:val="20"/>
          <w:szCs w:val="20"/>
          <w:color w:val="auto"/>
        </w:rPr>
      </w:pPr>
      <w:r>
        <w:rPr>
          <w:rFonts w:ascii="Times New Roman" w:cs="Times New Roman" w:eastAsia="Times New Roman" w:hAnsi="Times New Roman"/>
          <w:sz w:val="11"/>
          <w:szCs w:val="11"/>
          <w:b w:val="1"/>
          <w:bCs w:val="1"/>
          <w:color w:val="auto"/>
        </w:rPr>
        <w:t>1100 W. Town and Country Road</w:t>
      </w:r>
    </w:p>
    <w:p>
      <w:pPr>
        <w:jc w:val="center"/>
        <w:ind w:right="-1140"/>
        <w:spacing w:after="0" w:line="223" w:lineRule="auto"/>
        <w:rPr>
          <w:sz w:val="20"/>
          <w:szCs w:val="20"/>
          <w:color w:val="auto"/>
        </w:rPr>
      </w:pPr>
      <w:r>
        <w:rPr>
          <w:rFonts w:ascii="Times New Roman" w:cs="Times New Roman" w:eastAsia="Times New Roman" w:hAnsi="Times New Roman"/>
          <w:sz w:val="11"/>
          <w:szCs w:val="11"/>
          <w:b w:val="1"/>
          <w:bCs w:val="1"/>
          <w:color w:val="auto"/>
        </w:rPr>
        <w:t>Suite 1600</w:t>
      </w:r>
    </w:p>
    <w:p>
      <w:pPr>
        <w:jc w:val="center"/>
        <w:ind w:right="-1140"/>
        <w:spacing w:after="0" w:line="224" w:lineRule="auto"/>
        <w:rPr>
          <w:sz w:val="20"/>
          <w:szCs w:val="20"/>
          <w:color w:val="auto"/>
        </w:rPr>
      </w:pPr>
      <w:r>
        <w:rPr>
          <w:rFonts w:ascii="Times New Roman" w:cs="Times New Roman" w:eastAsia="Times New Roman" w:hAnsi="Times New Roman"/>
          <w:sz w:val="11"/>
          <w:szCs w:val="11"/>
          <w:b w:val="1"/>
          <w:bCs w:val="1"/>
          <w:color w:val="auto"/>
        </w:rPr>
        <w:t>Orange, California 92868</w:t>
      </w:r>
    </w:p>
    <w:p>
      <w:pPr>
        <w:jc w:val="center"/>
        <w:ind w:right="-1140"/>
        <w:spacing w:after="0" w:line="223" w:lineRule="auto"/>
        <w:rPr>
          <w:sz w:val="20"/>
          <w:szCs w:val="20"/>
          <w:color w:val="auto"/>
        </w:rPr>
      </w:pPr>
      <w:r>
        <w:rPr>
          <w:rFonts w:ascii="Times New Roman" w:cs="Times New Roman" w:eastAsia="Times New Roman" w:hAnsi="Times New Roman"/>
          <w:sz w:val="11"/>
          <w:szCs w:val="11"/>
          <w:b w:val="1"/>
          <w:bCs w:val="1"/>
          <w:color w:val="auto"/>
        </w:rPr>
        <w:t>1 844-310-2247</w:t>
      </w: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3002280</wp:posOffset>
            </wp:positionH>
            <wp:positionV relativeFrom="paragraph">
              <wp:posOffset>113665</wp:posOffset>
            </wp:positionV>
            <wp:extent cx="11626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2685" cy="6985"/>
                    </a:xfrm>
                    <a:prstGeom prst="rect">
                      <a:avLst/>
                    </a:prstGeom>
                    <a:noFill/>
                  </pic:spPr>
                </pic:pic>
              </a:graphicData>
            </a:graphic>
          </wp:anchor>
        </w:drawing>
      </w:r>
    </w:p>
    <w:p>
      <w:pPr>
        <w:spacing w:after="0" w:line="23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i w:val="1"/>
          <w:iCs w:val="1"/>
          <w:color w:val="auto"/>
        </w:rPr>
        <w:t>With a copy to:</w:t>
      </w:r>
    </w:p>
    <w:p>
      <w:pPr>
        <w:spacing w:after="0" w:line="7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Christopher J. Cummings</w:t>
      </w:r>
    </w:p>
    <w:p>
      <w:pPr>
        <w:jc w:val="center"/>
        <w:ind w:right="-1140"/>
        <w:spacing w:after="0" w:line="233" w:lineRule="auto"/>
        <w:rPr>
          <w:sz w:val="20"/>
          <w:szCs w:val="20"/>
          <w:color w:val="auto"/>
        </w:rPr>
      </w:pPr>
      <w:r>
        <w:rPr>
          <w:rFonts w:ascii="Times New Roman" w:cs="Times New Roman" w:eastAsia="Times New Roman" w:hAnsi="Times New Roman"/>
          <w:sz w:val="11"/>
          <w:szCs w:val="11"/>
          <w:b w:val="1"/>
          <w:bCs w:val="1"/>
          <w:color w:val="auto"/>
        </w:rPr>
        <w:t>Paul, Weiss, Rifkind, Wharton &amp; Garrison LLP</w:t>
      </w:r>
    </w:p>
    <w:p>
      <w:pPr>
        <w:jc w:val="center"/>
        <w:ind w:right="-1140"/>
        <w:spacing w:after="0" w:line="224" w:lineRule="auto"/>
        <w:rPr>
          <w:sz w:val="20"/>
          <w:szCs w:val="20"/>
          <w:color w:val="auto"/>
        </w:rPr>
      </w:pPr>
      <w:r>
        <w:rPr>
          <w:rFonts w:ascii="Times New Roman" w:cs="Times New Roman" w:eastAsia="Times New Roman" w:hAnsi="Times New Roman"/>
          <w:sz w:val="11"/>
          <w:szCs w:val="11"/>
          <w:b w:val="1"/>
          <w:bCs w:val="1"/>
          <w:color w:val="auto"/>
        </w:rPr>
        <w:t>1285 Avenue of the Americas</w:t>
      </w:r>
    </w:p>
    <w:p>
      <w:pPr>
        <w:jc w:val="center"/>
        <w:ind w:right="-1140"/>
        <w:spacing w:after="0" w:line="223" w:lineRule="auto"/>
        <w:rPr>
          <w:sz w:val="20"/>
          <w:szCs w:val="20"/>
          <w:color w:val="auto"/>
        </w:rPr>
      </w:pPr>
      <w:r>
        <w:rPr>
          <w:rFonts w:ascii="Times New Roman" w:cs="Times New Roman" w:eastAsia="Times New Roman" w:hAnsi="Times New Roman"/>
          <w:sz w:val="11"/>
          <w:szCs w:val="11"/>
          <w:b w:val="1"/>
          <w:bCs w:val="1"/>
          <w:color w:val="auto"/>
        </w:rPr>
        <w:t>New York, NY 10019-6064</w:t>
      </w: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(212) 373-3000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3002280</wp:posOffset>
            </wp:positionH>
            <wp:positionV relativeFrom="paragraph">
              <wp:posOffset>120015</wp:posOffset>
            </wp:positionV>
            <wp:extent cx="116268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62685" cy="6985"/>
                    </a:xfrm>
                    <a:prstGeom prst="rect">
                      <a:avLst/>
                    </a:prstGeom>
                    <a:noFill/>
                  </pic:spPr>
                </pic:pic>
              </a:graphicData>
            </a:graphic>
          </wp:anchor>
        </w:drawing>
      </w:r>
    </w:p>
    <w:p>
      <w:pPr>
        <w:spacing w:after="0" w:line="248"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1"/>
          <w:szCs w:val="11"/>
          <w:color w:val="auto"/>
        </w:rPr>
        <w:t>Approximate date of commencement of proposed sale to the public: From time to time after the effective date of this Registration Statement.</w:t>
      </w:r>
    </w:p>
    <w:p>
      <w:pPr>
        <w:spacing w:after="0" w:line="61" w:lineRule="exact"/>
        <w:rPr>
          <w:sz w:val="24"/>
          <w:szCs w:val="24"/>
          <w:color w:val="auto"/>
        </w:rPr>
      </w:pPr>
    </w:p>
    <w:p>
      <w:pPr>
        <w:ind w:left="1280"/>
        <w:spacing w:after="0" w:line="127" w:lineRule="exact"/>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114" w:lineRule="exact"/>
        <w:rPr>
          <w:sz w:val="24"/>
          <w:szCs w:val="24"/>
          <w:color w:val="auto"/>
        </w:rPr>
      </w:pPr>
    </w:p>
    <w:p>
      <w:pPr>
        <w:ind w:left="1280" w:right="379"/>
        <w:spacing w:after="0" w:line="148"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49" w:lineRule="exact"/>
        <w:rPr>
          <w:sz w:val="24"/>
          <w:szCs w:val="24"/>
          <w:color w:val="auto"/>
        </w:rPr>
      </w:pPr>
    </w:p>
    <w:p>
      <w:pPr>
        <w:ind w:left="1280" w:right="399"/>
        <w:spacing w:after="0" w:line="148"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49" w:lineRule="exact"/>
        <w:rPr>
          <w:sz w:val="24"/>
          <w:szCs w:val="24"/>
          <w:color w:val="auto"/>
        </w:rPr>
      </w:pPr>
    </w:p>
    <w:p>
      <w:pPr>
        <w:ind w:left="1280" w:right="419"/>
        <w:spacing w:after="0" w:line="148"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49" w:lineRule="exact"/>
        <w:rPr>
          <w:sz w:val="24"/>
          <w:szCs w:val="24"/>
          <w:color w:val="auto"/>
        </w:rPr>
      </w:pPr>
    </w:p>
    <w:p>
      <w:pPr>
        <w:ind w:left="1280" w:right="139"/>
        <w:spacing w:after="0" w:line="148"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1"/>
          <w:szCs w:val="11"/>
          <w:color w:val="auto"/>
        </w:rPr>
        <w:t>☒</w:t>
      </w:r>
    </w:p>
    <w:p>
      <w:pPr>
        <w:spacing w:after="0" w:line="49" w:lineRule="exact"/>
        <w:rPr>
          <w:sz w:val="24"/>
          <w:szCs w:val="24"/>
          <w:color w:val="auto"/>
        </w:rPr>
      </w:pPr>
    </w:p>
    <w:p>
      <w:pPr>
        <w:ind w:left="1280" w:right="199"/>
        <w:spacing w:after="0" w:line="148"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49" w:lineRule="exact"/>
        <w:rPr>
          <w:sz w:val="24"/>
          <w:szCs w:val="24"/>
          <w:color w:val="auto"/>
        </w:rPr>
      </w:pPr>
    </w:p>
    <w:p>
      <w:pPr>
        <w:ind w:left="1280" w:right="319"/>
        <w:spacing w:after="0" w:line="263"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9" w:lineRule="exact"/>
        <w:rPr>
          <w:sz w:val="24"/>
          <w:szCs w:val="24"/>
          <w:color w:val="auto"/>
        </w:rPr>
      </w:pPr>
    </w:p>
    <w:tbl>
      <w:tblPr>
        <w:tblLayout w:type="fixed"/>
        <w:tblInd w:w="1280" w:type="dxa"/>
        <w:tblCellMar>
          <w:top w:w="0" w:type="dxa"/>
          <w:left w:w="0" w:type="dxa"/>
          <w:bottom w:w="0" w:type="dxa"/>
          <w:right w:w="0" w:type="dxa"/>
        </w:tblCellMar>
      </w:tblPr>
      <w:tr>
        <w:trPr>
          <w:trHeight w:val="192"/>
        </w:trPr>
        <w:tc>
          <w:tcPr>
            <w:tcW w:w="12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9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4120" w:type="dxa"/>
            <w:vAlign w:val="bottom"/>
          </w:tcPr>
          <w:p>
            <w:pPr>
              <w:ind w:left="2620"/>
              <w:spacing w:after="0"/>
              <w:rPr>
                <w:sz w:val="20"/>
                <w:szCs w:val="20"/>
                <w:color w:val="auto"/>
              </w:rPr>
            </w:pPr>
            <w:r>
              <w:rPr>
                <w:rFonts w:ascii="Times New Roman" w:cs="Times New Roman" w:eastAsia="Times New Roman" w:hAnsi="Times New Roman"/>
                <w:sz w:val="11"/>
                <w:szCs w:val="11"/>
                <w:color w:val="auto"/>
              </w:rPr>
              <w:t>Accelerated filer</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25"/>
        </w:trPr>
        <w:tc>
          <w:tcPr>
            <w:tcW w:w="126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9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4120" w:type="dxa"/>
            <w:vAlign w:val="bottom"/>
          </w:tcPr>
          <w:p>
            <w:pPr>
              <w:ind w:left="262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25"/>
        </w:trPr>
        <w:tc>
          <w:tcPr>
            <w:tcW w:w="12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120" w:type="dxa"/>
            <w:vAlign w:val="bottom"/>
          </w:tcPr>
          <w:p>
            <w:pPr>
              <w:ind w:left="2620"/>
              <w:spacing w:after="0"/>
              <w:rPr>
                <w:sz w:val="20"/>
                <w:szCs w:val="20"/>
                <w:color w:val="auto"/>
              </w:rPr>
            </w:pPr>
            <w:r>
              <w:rPr>
                <w:rFonts w:ascii="Times New Roman" w:cs="Times New Roman" w:eastAsia="Times New Roman" w:hAnsi="Times New Roman"/>
                <w:sz w:val="11"/>
                <w:szCs w:val="11"/>
                <w:color w:val="auto"/>
              </w:rPr>
              <w:t>Emerging growth company</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48" w:lineRule="exact"/>
        <w:rPr>
          <w:sz w:val="24"/>
          <w:szCs w:val="24"/>
          <w:color w:val="auto"/>
        </w:rPr>
      </w:pPr>
    </w:p>
    <w:p>
      <w:pPr>
        <w:ind w:left="1280" w:right="419"/>
        <w:spacing w:after="0" w:line="148"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812800</wp:posOffset>
            </wp:positionH>
            <wp:positionV relativeFrom="paragraph">
              <wp:posOffset>34925</wp:posOffset>
            </wp:positionV>
            <wp:extent cx="554926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9265" cy="6985"/>
                    </a:xfrm>
                    <a:prstGeom prst="rect">
                      <a:avLst/>
                    </a:prstGeom>
                    <a:noFill/>
                  </pic:spPr>
                </pic:pic>
              </a:graphicData>
            </a:graphic>
          </wp:anchor>
        </w:drawing>
        <w:drawing>
          <wp:anchor simplePos="0" relativeHeight="251657728" behindDoc="1" locked="0" layoutInCell="0" allowOverlap="1">
            <wp:simplePos x="0" y="0"/>
            <wp:positionH relativeFrom="column">
              <wp:posOffset>812800</wp:posOffset>
            </wp:positionH>
            <wp:positionV relativeFrom="paragraph">
              <wp:posOffset>69215</wp:posOffset>
            </wp:positionV>
            <wp:extent cx="554926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9265" cy="6985"/>
                    </a:xfrm>
                    <a:prstGeom prst="rect">
                      <a:avLst/>
                    </a:prstGeom>
                    <a:noFill/>
                  </pic:spPr>
                </pic:pic>
              </a:graphicData>
            </a:graphic>
          </wp:anchor>
        </w:drawing>
      </w:r>
    </w:p>
    <w:p>
      <w:pPr>
        <w:sectPr>
          <w:pgSz w:w="11900" w:h="16838" w:orient="portrait"/>
          <w:cols w:equalWidth="0" w:num="1">
            <w:col w:w="10159"/>
          </w:cols>
          <w:pgMar w:left="300" w:top="208"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4"/>
          <w:szCs w:val="34"/>
          <w:b w:val="1"/>
          <w:bCs w:val="1"/>
          <w:color w:val="auto"/>
        </w:rPr>
        <w:t>Alignment Healthcare, Inc.</w:t>
      </w:r>
    </w:p>
    <w:p>
      <w:pPr>
        <w:spacing w:after="0" w:line="19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Depositary Shares</w:t>
      </w:r>
    </w:p>
    <w:p>
      <w:pPr>
        <w:spacing w:after="0" w:line="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Warrants</w:t>
      </w:r>
    </w:p>
    <w:p>
      <w:pPr>
        <w:spacing w:after="0" w:line="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Purchase Contracts</w:t>
      </w:r>
    </w:p>
    <w:p>
      <w:pPr>
        <w:spacing w:after="0" w:line="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3002280</wp:posOffset>
            </wp:positionH>
            <wp:positionV relativeFrom="paragraph">
              <wp:posOffset>194310</wp:posOffset>
            </wp:positionV>
            <wp:extent cx="116268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62685" cy="6985"/>
                    </a:xfrm>
                    <a:prstGeom prst="rect">
                      <a:avLst/>
                    </a:prstGeom>
                    <a:noFill/>
                  </pic:spPr>
                </pic:pic>
              </a:graphicData>
            </a:graphic>
          </wp:anchor>
        </w:drawing>
      </w:r>
    </w:p>
    <w:p>
      <w:pPr>
        <w:spacing w:after="0" w:line="368" w:lineRule="exact"/>
        <w:rPr>
          <w:sz w:val="20"/>
          <w:szCs w:val="20"/>
          <w:color w:val="auto"/>
        </w:rPr>
      </w:pPr>
    </w:p>
    <w:p>
      <w:pPr>
        <w:ind w:left="1280" w:right="399" w:firstLine="349"/>
        <w:spacing w:after="0" w:line="273" w:lineRule="auto"/>
        <w:rPr>
          <w:sz w:val="20"/>
          <w:szCs w:val="20"/>
          <w:color w:val="auto"/>
        </w:rPr>
      </w:pPr>
      <w:r>
        <w:rPr>
          <w:rFonts w:ascii="Times New Roman" w:cs="Times New Roman" w:eastAsia="Times New Roman" w:hAnsi="Times New Roman"/>
          <w:sz w:val="14"/>
          <w:szCs w:val="14"/>
          <w:color w:val="auto"/>
        </w:rPr>
        <w:t>This prospectus contains a general description of the securities that we or selling stockholders may offer for sale. The specific terms of the securities will be contained in one or more supplements to this prospectus. Read this prospectus and any prospectus supplement carefully before you invest.</w:t>
      </w:r>
    </w:p>
    <w:p>
      <w:pPr>
        <w:spacing w:after="0" w:line="136" w:lineRule="exact"/>
        <w:rPr>
          <w:sz w:val="20"/>
          <w:szCs w:val="20"/>
          <w:color w:val="auto"/>
        </w:rPr>
      </w:pPr>
    </w:p>
    <w:p>
      <w:pPr>
        <w:ind w:left="1280" w:right="319" w:firstLine="349"/>
        <w:spacing w:after="0" w:line="291" w:lineRule="auto"/>
        <w:rPr>
          <w:sz w:val="20"/>
          <w:szCs w:val="20"/>
          <w:color w:val="auto"/>
        </w:rPr>
      </w:pPr>
      <w:r>
        <w:rPr>
          <w:rFonts w:ascii="Times New Roman" w:cs="Times New Roman" w:eastAsia="Times New Roman" w:hAnsi="Times New Roman"/>
          <w:sz w:val="14"/>
          <w:szCs w:val="14"/>
          <w:color w:val="auto"/>
        </w:rPr>
        <w:t>The securities may be issued by Alignment Healthcare, Inc. In addition, selling stockholders named in a prospectus supplement may offer, from time to time and in one or more offerings, shares of our common stock.</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Our common stock is listed on The NASDAQ Stock Market LLC (“NASDAQ”) under the symbol “ALHC.”</w:t>
      </w:r>
    </w:p>
    <w:p>
      <w:pPr>
        <w:spacing w:after="0" w:line="172" w:lineRule="exact"/>
        <w:rPr>
          <w:sz w:val="20"/>
          <w:szCs w:val="20"/>
          <w:color w:val="auto"/>
        </w:rPr>
      </w:pPr>
    </w:p>
    <w:p>
      <w:pPr>
        <w:ind w:left="1280" w:right="199" w:firstLine="349"/>
        <w:spacing w:after="0" w:line="249" w:lineRule="auto"/>
        <w:rPr>
          <w:sz w:val="20"/>
          <w:szCs w:val="20"/>
          <w:color w:val="auto"/>
        </w:rPr>
      </w:pPr>
      <w:r>
        <w:rPr>
          <w:rFonts w:ascii="Times New Roman" w:cs="Times New Roman" w:eastAsia="Times New Roman" w:hAnsi="Times New Roman"/>
          <w:sz w:val="17"/>
          <w:szCs w:val="17"/>
          <w:b w:val="1"/>
          <w:bCs w:val="1"/>
          <w:color w:val="auto"/>
        </w:rPr>
        <w:t>Investing in our securities involves risks that are referenced under the caption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on page 3 of this prospectus. You should carefully review the risks and uncertainties described under the heading “Risk Factors” contained in the applicable prospectus supplement and any related free writing prospectus, and under similar headings in the other documents that are incorporated by reference in this prospectus.</w:t>
      </w:r>
    </w:p>
    <w:p>
      <w:pPr>
        <w:spacing w:after="0" w:line="141" w:lineRule="exact"/>
        <w:rPr>
          <w:sz w:val="20"/>
          <w:szCs w:val="20"/>
          <w:color w:val="auto"/>
        </w:rPr>
      </w:pPr>
    </w:p>
    <w:p>
      <w:pPr>
        <w:ind w:left="1280" w:right="299" w:firstLine="349"/>
        <w:spacing w:after="0" w:line="267" w:lineRule="auto"/>
        <w:rPr>
          <w:sz w:val="20"/>
          <w:szCs w:val="20"/>
          <w:color w:val="auto"/>
        </w:rPr>
      </w:pPr>
      <w:r>
        <w:rPr>
          <w:rFonts w:ascii="Times New Roman" w:cs="Times New Roman" w:eastAsia="Times New Roman" w:hAnsi="Times New Roman"/>
          <w:sz w:val="14"/>
          <w:szCs w:val="14"/>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3002280</wp:posOffset>
            </wp:positionH>
            <wp:positionV relativeFrom="paragraph">
              <wp:posOffset>166370</wp:posOffset>
            </wp:positionV>
            <wp:extent cx="116268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2685" cy="698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color w:val="auto"/>
        </w:rPr>
        <w:t>The date of this prospectus is March 2, 2026.</w:t>
      </w:r>
    </w:p>
    <w:p>
      <w:pPr>
        <w:sectPr>
          <w:pgSz w:w="11900" w:h="16838" w:orient="portrait"/>
          <w:cols w:equalWidth="0" w:num="1">
            <w:col w:w="10159"/>
          </w:cols>
          <w:pgMar w:left="300" w:top="39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96" w:lineRule="exact"/>
        <w:rPr>
          <w:sz w:val="20"/>
          <w:szCs w:val="20"/>
          <w:color w:val="auto"/>
        </w:rPr>
      </w:pPr>
    </w:p>
    <w:tbl>
      <w:tblPr>
        <w:tblLayout w:type="fixed"/>
        <w:tblInd w:w="1280" w:type="dxa"/>
        <w:tblCellMar>
          <w:top w:w="0" w:type="dxa"/>
          <w:left w:w="0" w:type="dxa"/>
          <w:bottom w:w="0" w:type="dxa"/>
          <w:right w:w="0" w:type="dxa"/>
        </w:tblCellMar>
      </w:tblPr>
      <w:tr>
        <w:trPr>
          <w:trHeight w:val="126"/>
        </w:trPr>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54"/>
        </w:trPr>
        <w:tc>
          <w:tcPr>
            <w:tcW w:w="6340" w:type="dxa"/>
            <w:vAlign w:val="bottom"/>
            <w:gridSpan w:val="16"/>
          </w:tcPr>
          <w:p>
            <w:pPr>
              <w:spacing w:after="0" w:line="154" w:lineRule="exact"/>
              <w:rPr>
                <w:sz w:val="20"/>
                <w:szCs w:val="20"/>
                <w:color w:val="auto"/>
              </w:rPr>
            </w:pPr>
            <w:r>
              <w:rPr>
                <w:rFonts w:ascii="Times New Roman" w:cs="Times New Roman" w:eastAsia="Times New Roman" w:hAnsi="Times New Roman"/>
                <w:sz w:val="14"/>
                <w:szCs w:val="14"/>
                <w:color w:val="0000EE"/>
              </w:rPr>
              <w:t>THE COMPANY</w:t>
            </w:r>
          </w:p>
        </w:tc>
        <w:tc>
          <w:tcPr>
            <w:tcW w:w="236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1</w:t>
            </w:r>
          </w:p>
        </w:tc>
      </w:tr>
      <w:tr>
        <w:trPr>
          <w:trHeight w:val="151"/>
        </w:trPr>
        <w:tc>
          <w:tcPr>
            <w:tcW w:w="1000" w:type="dxa"/>
            <w:vAlign w:val="bottom"/>
            <w:tcBorders>
              <w:top w:val="single" w:sz="8" w:color="0000EE"/>
            </w:tcBorders>
            <w:gridSpan w:val="3"/>
          </w:tcPr>
          <w:p>
            <w:pPr>
              <w:spacing w:after="0" w:line="151" w:lineRule="exact"/>
              <w:rPr>
                <w:sz w:val="20"/>
                <w:szCs w:val="20"/>
                <w:color w:val="auto"/>
              </w:rPr>
            </w:pPr>
            <w:r>
              <w:rPr>
                <w:rFonts w:ascii="Times New Roman" w:cs="Times New Roman" w:eastAsia="Times New Roman" w:hAnsi="Times New Roman"/>
                <w:sz w:val="14"/>
                <w:szCs w:val="14"/>
                <w:color w:val="0000EE"/>
                <w:w w:val="99"/>
              </w:rPr>
              <w:t>RISK FACTORS</w:t>
            </w:r>
          </w:p>
        </w:tc>
        <w:tc>
          <w:tcPr>
            <w:tcW w:w="5340" w:type="dxa"/>
            <w:vAlign w:val="bottom"/>
            <w:gridSpan w:val="13"/>
          </w:tcPr>
          <w:p>
            <w:pPr>
              <w:spacing w:after="0"/>
              <w:rPr>
                <w:sz w:val="13"/>
                <w:szCs w:val="13"/>
                <w:color w:val="auto"/>
              </w:rPr>
            </w:pPr>
          </w:p>
        </w:tc>
        <w:tc>
          <w:tcPr>
            <w:tcW w:w="23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3</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51"/>
        </w:trPr>
        <w:tc>
          <w:tcPr>
            <w:tcW w:w="4220" w:type="dxa"/>
            <w:vAlign w:val="bottom"/>
            <w:tcBorders>
              <w:bottom w:val="single" w:sz="8" w:color="0000EE"/>
            </w:tcBorders>
            <w:gridSpan w:val="15"/>
          </w:tcPr>
          <w:p>
            <w:pPr>
              <w:spacing w:after="0" w:line="151" w:lineRule="exact"/>
              <w:rPr>
                <w:sz w:val="20"/>
                <w:szCs w:val="20"/>
                <w:color w:val="auto"/>
              </w:rPr>
            </w:pPr>
            <w:r>
              <w:rPr>
                <w:rFonts w:ascii="Times New Roman" w:cs="Times New Roman" w:eastAsia="Times New Roman" w:hAnsi="Times New Roman"/>
                <w:sz w:val="14"/>
                <w:szCs w:val="14"/>
                <w:color w:val="0000EE"/>
                <w:w w:val="99"/>
              </w:rPr>
              <w:t>STATEMENTS REGARDING FORWARD-LOOKING INFORMATION</w:t>
            </w:r>
          </w:p>
        </w:tc>
        <w:tc>
          <w:tcPr>
            <w:tcW w:w="2120" w:type="dxa"/>
            <w:vAlign w:val="bottom"/>
          </w:tcPr>
          <w:p>
            <w:pPr>
              <w:spacing w:after="0"/>
              <w:rPr>
                <w:sz w:val="13"/>
                <w:szCs w:val="13"/>
                <w:color w:val="auto"/>
              </w:rPr>
            </w:pPr>
          </w:p>
        </w:tc>
        <w:tc>
          <w:tcPr>
            <w:tcW w:w="23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4</w:t>
            </w:r>
          </w:p>
        </w:tc>
      </w:tr>
      <w:tr>
        <w:trPr>
          <w:trHeight w:val="151"/>
        </w:trPr>
        <w:tc>
          <w:tcPr>
            <w:tcW w:w="6340" w:type="dxa"/>
            <w:vAlign w:val="bottom"/>
            <w:gridSpan w:val="16"/>
          </w:tcPr>
          <w:p>
            <w:pPr>
              <w:spacing w:after="0" w:line="151" w:lineRule="exact"/>
              <w:rPr>
                <w:sz w:val="20"/>
                <w:szCs w:val="20"/>
                <w:color w:val="auto"/>
              </w:rPr>
            </w:pPr>
            <w:r>
              <w:rPr>
                <w:rFonts w:ascii="Times New Roman" w:cs="Times New Roman" w:eastAsia="Times New Roman" w:hAnsi="Times New Roman"/>
                <w:sz w:val="14"/>
                <w:szCs w:val="14"/>
                <w:color w:val="0000EE"/>
              </w:rPr>
              <w:t>USE OF PROCEEDS</w:t>
            </w:r>
          </w:p>
        </w:tc>
        <w:tc>
          <w:tcPr>
            <w:tcW w:w="23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7</w:t>
            </w:r>
          </w:p>
        </w:tc>
      </w:tr>
      <w:tr>
        <w:trPr>
          <w:trHeight w:val="20"/>
        </w:trPr>
        <w:tc>
          <w:tcPr>
            <w:tcW w:w="6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51"/>
        </w:trPr>
        <w:tc>
          <w:tcPr>
            <w:tcW w:w="6340" w:type="dxa"/>
            <w:vAlign w:val="bottom"/>
            <w:gridSpan w:val="16"/>
          </w:tcPr>
          <w:p>
            <w:pPr>
              <w:spacing w:after="0" w:line="151" w:lineRule="exact"/>
              <w:rPr>
                <w:sz w:val="20"/>
                <w:szCs w:val="20"/>
                <w:color w:val="auto"/>
              </w:rPr>
            </w:pPr>
            <w:r>
              <w:rPr>
                <w:rFonts w:ascii="Times New Roman" w:cs="Times New Roman" w:eastAsia="Times New Roman" w:hAnsi="Times New Roman"/>
                <w:sz w:val="14"/>
                <w:szCs w:val="14"/>
                <w:color w:val="0000EE"/>
              </w:rPr>
              <w:t>DESCRIPTION OF THE DEBT SECURITIES</w:t>
            </w:r>
          </w:p>
        </w:tc>
        <w:tc>
          <w:tcPr>
            <w:tcW w:w="23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8</w:t>
            </w:r>
          </w:p>
        </w:tc>
      </w:tr>
      <w:tr>
        <w:trPr>
          <w:trHeight w:val="151"/>
        </w:trPr>
        <w:tc>
          <w:tcPr>
            <w:tcW w:w="2700" w:type="dxa"/>
            <w:vAlign w:val="bottom"/>
            <w:tcBorders>
              <w:top w:val="single" w:sz="8" w:color="0000EE"/>
            </w:tcBorders>
            <w:gridSpan w:val="11"/>
          </w:tcPr>
          <w:p>
            <w:pPr>
              <w:spacing w:after="0" w:line="151" w:lineRule="exact"/>
              <w:rPr>
                <w:sz w:val="20"/>
                <w:szCs w:val="20"/>
                <w:color w:val="auto"/>
              </w:rPr>
            </w:pPr>
            <w:r>
              <w:rPr>
                <w:rFonts w:ascii="Times New Roman" w:cs="Times New Roman" w:eastAsia="Times New Roman" w:hAnsi="Times New Roman"/>
                <w:sz w:val="14"/>
                <w:szCs w:val="14"/>
                <w:color w:val="0000EE"/>
              </w:rPr>
              <w:t>DESCRIPTION OF THE CAPITAL STOCK</w:t>
            </w:r>
          </w:p>
        </w:tc>
        <w:tc>
          <w:tcPr>
            <w:tcW w:w="3640" w:type="dxa"/>
            <w:vAlign w:val="bottom"/>
            <w:gridSpan w:val="5"/>
          </w:tcPr>
          <w:p>
            <w:pPr>
              <w:spacing w:after="0"/>
              <w:rPr>
                <w:sz w:val="13"/>
                <w:szCs w:val="13"/>
                <w:color w:val="auto"/>
              </w:rPr>
            </w:pPr>
          </w:p>
        </w:tc>
        <w:tc>
          <w:tcPr>
            <w:tcW w:w="23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16</w:t>
            </w:r>
          </w:p>
        </w:tc>
      </w:tr>
      <w:tr>
        <w:trPr>
          <w:trHeight w:val="20"/>
        </w:trPr>
        <w:tc>
          <w:tcPr>
            <w:tcW w:w="6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51"/>
        </w:trPr>
        <w:tc>
          <w:tcPr>
            <w:tcW w:w="6340" w:type="dxa"/>
            <w:vAlign w:val="bottom"/>
            <w:gridSpan w:val="16"/>
          </w:tcPr>
          <w:p>
            <w:pPr>
              <w:spacing w:after="0" w:line="151" w:lineRule="exact"/>
              <w:rPr>
                <w:sz w:val="20"/>
                <w:szCs w:val="20"/>
                <w:color w:val="auto"/>
              </w:rPr>
            </w:pPr>
            <w:r>
              <w:rPr>
                <w:rFonts w:ascii="Times New Roman" w:cs="Times New Roman" w:eastAsia="Times New Roman" w:hAnsi="Times New Roman"/>
                <w:sz w:val="14"/>
                <w:szCs w:val="14"/>
                <w:color w:val="0000EE"/>
              </w:rPr>
              <w:t>DESCRIPTION OF THE DEPOSITARY SHARES</w:t>
            </w:r>
          </w:p>
        </w:tc>
        <w:tc>
          <w:tcPr>
            <w:tcW w:w="23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17</w:t>
            </w:r>
          </w:p>
        </w:tc>
      </w:tr>
      <w:tr>
        <w:trPr>
          <w:trHeight w:val="151"/>
        </w:trPr>
        <w:tc>
          <w:tcPr>
            <w:tcW w:w="2280" w:type="dxa"/>
            <w:vAlign w:val="bottom"/>
            <w:tcBorders>
              <w:top w:val="single" w:sz="8" w:color="0000EE"/>
              <w:bottom w:val="single" w:sz="8" w:color="0000EE"/>
            </w:tcBorders>
            <w:gridSpan w:val="9"/>
          </w:tcPr>
          <w:p>
            <w:pPr>
              <w:spacing w:after="0" w:line="151" w:lineRule="exact"/>
              <w:rPr>
                <w:sz w:val="20"/>
                <w:szCs w:val="20"/>
                <w:color w:val="auto"/>
              </w:rPr>
            </w:pPr>
            <w:r>
              <w:rPr>
                <w:rFonts w:ascii="Times New Roman" w:cs="Times New Roman" w:eastAsia="Times New Roman" w:hAnsi="Times New Roman"/>
                <w:sz w:val="14"/>
                <w:szCs w:val="14"/>
                <w:color w:val="0000EE"/>
              </w:rPr>
              <w:t>DESCRIPTION OF THE WARRANTS</w:t>
            </w:r>
          </w:p>
        </w:tc>
        <w:tc>
          <w:tcPr>
            <w:tcW w:w="660" w:type="dxa"/>
            <w:vAlign w:val="bottom"/>
            <w:tcBorders>
              <w:top w:val="single" w:sz="8" w:color="0000EE"/>
            </w:tcBorders>
            <w:gridSpan w:val="3"/>
          </w:tcPr>
          <w:p>
            <w:pPr>
              <w:spacing w:after="0"/>
              <w:rPr>
                <w:sz w:val="13"/>
                <w:szCs w:val="13"/>
                <w:color w:val="auto"/>
              </w:rPr>
            </w:pPr>
          </w:p>
        </w:tc>
        <w:tc>
          <w:tcPr>
            <w:tcW w:w="3400" w:type="dxa"/>
            <w:vAlign w:val="bottom"/>
            <w:gridSpan w:val="4"/>
          </w:tcPr>
          <w:p>
            <w:pPr>
              <w:spacing w:after="0"/>
              <w:rPr>
                <w:sz w:val="13"/>
                <w:szCs w:val="13"/>
                <w:color w:val="auto"/>
              </w:rPr>
            </w:pPr>
          </w:p>
        </w:tc>
        <w:tc>
          <w:tcPr>
            <w:tcW w:w="23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20</w:t>
            </w:r>
          </w:p>
        </w:tc>
      </w:tr>
      <w:tr>
        <w:trPr>
          <w:trHeight w:val="151"/>
        </w:trPr>
        <w:tc>
          <w:tcPr>
            <w:tcW w:w="3120" w:type="dxa"/>
            <w:vAlign w:val="bottom"/>
            <w:tcBorders>
              <w:bottom w:val="single" w:sz="8" w:color="0000EE"/>
            </w:tcBorders>
            <w:gridSpan w:val="14"/>
          </w:tcPr>
          <w:p>
            <w:pPr>
              <w:spacing w:after="0" w:line="151" w:lineRule="exact"/>
              <w:rPr>
                <w:sz w:val="20"/>
                <w:szCs w:val="20"/>
                <w:color w:val="auto"/>
              </w:rPr>
            </w:pPr>
            <w:r>
              <w:rPr>
                <w:rFonts w:ascii="Times New Roman" w:cs="Times New Roman" w:eastAsia="Times New Roman" w:hAnsi="Times New Roman"/>
                <w:sz w:val="14"/>
                <w:szCs w:val="14"/>
                <w:color w:val="0000EE"/>
              </w:rPr>
              <w:t>DESCRIPTION OF THE PURCHASE CONTRACTS</w:t>
            </w:r>
          </w:p>
        </w:tc>
        <w:tc>
          <w:tcPr>
            <w:tcW w:w="3220" w:type="dxa"/>
            <w:vAlign w:val="bottom"/>
            <w:gridSpan w:val="2"/>
          </w:tcPr>
          <w:p>
            <w:pPr>
              <w:spacing w:after="0"/>
              <w:rPr>
                <w:sz w:val="13"/>
                <w:szCs w:val="13"/>
                <w:color w:val="auto"/>
              </w:rPr>
            </w:pPr>
          </w:p>
        </w:tc>
        <w:tc>
          <w:tcPr>
            <w:tcW w:w="23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22</w:t>
            </w:r>
          </w:p>
        </w:tc>
      </w:tr>
      <w:tr>
        <w:trPr>
          <w:trHeight w:val="151"/>
        </w:trPr>
        <w:tc>
          <w:tcPr>
            <w:tcW w:w="6340" w:type="dxa"/>
            <w:vAlign w:val="bottom"/>
            <w:gridSpan w:val="16"/>
          </w:tcPr>
          <w:p>
            <w:pPr>
              <w:spacing w:after="0" w:line="151" w:lineRule="exact"/>
              <w:rPr>
                <w:sz w:val="20"/>
                <w:szCs w:val="20"/>
                <w:color w:val="auto"/>
              </w:rPr>
            </w:pPr>
            <w:r>
              <w:rPr>
                <w:rFonts w:ascii="Times New Roman" w:cs="Times New Roman" w:eastAsia="Times New Roman" w:hAnsi="Times New Roman"/>
                <w:sz w:val="14"/>
                <w:szCs w:val="14"/>
                <w:color w:val="0000EE"/>
              </w:rPr>
              <w:t>DESCRIPTION OF THE UNITS</w:t>
            </w:r>
          </w:p>
        </w:tc>
        <w:tc>
          <w:tcPr>
            <w:tcW w:w="23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23</w:t>
            </w:r>
          </w:p>
        </w:tc>
      </w:tr>
      <w:tr>
        <w:trPr>
          <w:trHeight w:val="151"/>
        </w:trPr>
        <w:tc>
          <w:tcPr>
            <w:tcW w:w="1900" w:type="dxa"/>
            <w:vAlign w:val="bottom"/>
            <w:tcBorders>
              <w:top w:val="single" w:sz="8" w:color="0000EE"/>
            </w:tcBorders>
            <w:gridSpan w:val="7"/>
          </w:tcPr>
          <w:p>
            <w:pPr>
              <w:spacing w:after="0" w:line="151" w:lineRule="exact"/>
              <w:rPr>
                <w:sz w:val="20"/>
                <w:szCs w:val="20"/>
                <w:color w:val="auto"/>
              </w:rPr>
            </w:pPr>
            <w:r>
              <w:rPr>
                <w:rFonts w:ascii="Times New Roman" w:cs="Times New Roman" w:eastAsia="Times New Roman" w:hAnsi="Times New Roman"/>
                <w:sz w:val="14"/>
                <w:szCs w:val="14"/>
                <w:color w:val="0000EE"/>
              </w:rPr>
              <w:t>PLAN OF DISTRIBUTION</w:t>
            </w:r>
          </w:p>
        </w:tc>
        <w:tc>
          <w:tcPr>
            <w:tcW w:w="4440" w:type="dxa"/>
            <w:vAlign w:val="bottom"/>
            <w:gridSpan w:val="9"/>
          </w:tcPr>
          <w:p>
            <w:pPr>
              <w:spacing w:after="0"/>
              <w:rPr>
                <w:sz w:val="13"/>
                <w:szCs w:val="13"/>
                <w:color w:val="auto"/>
              </w:rPr>
            </w:pPr>
          </w:p>
        </w:tc>
        <w:tc>
          <w:tcPr>
            <w:tcW w:w="23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24</w:t>
            </w:r>
          </w:p>
        </w:tc>
      </w:tr>
      <w:tr>
        <w:trPr>
          <w:trHeight w:val="151"/>
        </w:trPr>
        <w:tc>
          <w:tcPr>
            <w:tcW w:w="1620" w:type="dxa"/>
            <w:vAlign w:val="bottom"/>
            <w:tcBorders>
              <w:top w:val="single" w:sz="8" w:color="0000EE"/>
            </w:tcBorders>
            <w:gridSpan w:val="6"/>
          </w:tcPr>
          <w:p>
            <w:pPr>
              <w:spacing w:after="0" w:line="151" w:lineRule="exact"/>
              <w:rPr>
                <w:sz w:val="20"/>
                <w:szCs w:val="20"/>
                <w:color w:val="auto"/>
              </w:rPr>
            </w:pPr>
            <w:r>
              <w:rPr>
                <w:rFonts w:ascii="Times New Roman" w:cs="Times New Roman" w:eastAsia="Times New Roman" w:hAnsi="Times New Roman"/>
                <w:sz w:val="14"/>
                <w:szCs w:val="14"/>
                <w:color w:val="0000EE"/>
              </w:rPr>
              <w:t>LEGAL MATTERS</w:t>
            </w:r>
          </w:p>
        </w:tc>
        <w:tc>
          <w:tcPr>
            <w:tcW w:w="4720" w:type="dxa"/>
            <w:vAlign w:val="bottom"/>
            <w:gridSpan w:val="10"/>
          </w:tcPr>
          <w:p>
            <w:pPr>
              <w:spacing w:after="0"/>
              <w:rPr>
                <w:sz w:val="13"/>
                <w:szCs w:val="13"/>
                <w:color w:val="auto"/>
              </w:rPr>
            </w:pPr>
          </w:p>
        </w:tc>
        <w:tc>
          <w:tcPr>
            <w:tcW w:w="23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28</w:t>
            </w:r>
          </w:p>
        </w:tc>
      </w:tr>
      <w:tr>
        <w:trPr>
          <w:trHeight w:val="151"/>
        </w:trPr>
        <w:tc>
          <w:tcPr>
            <w:tcW w:w="1140" w:type="dxa"/>
            <w:vAlign w:val="bottom"/>
            <w:tcBorders>
              <w:top w:val="single" w:sz="8" w:color="0000EE"/>
            </w:tcBorders>
            <w:gridSpan w:val="4"/>
          </w:tcPr>
          <w:p>
            <w:pPr>
              <w:spacing w:after="0" w:line="151" w:lineRule="exact"/>
              <w:rPr>
                <w:sz w:val="20"/>
                <w:szCs w:val="20"/>
                <w:color w:val="auto"/>
              </w:rPr>
            </w:pPr>
            <w:r>
              <w:rPr>
                <w:rFonts w:ascii="Times New Roman" w:cs="Times New Roman" w:eastAsia="Times New Roman" w:hAnsi="Times New Roman"/>
                <w:sz w:val="14"/>
                <w:szCs w:val="14"/>
                <w:color w:val="0000EE"/>
              </w:rPr>
              <w:t>EXPERTS</w:t>
            </w:r>
          </w:p>
        </w:tc>
        <w:tc>
          <w:tcPr>
            <w:tcW w:w="5200" w:type="dxa"/>
            <w:vAlign w:val="bottom"/>
            <w:gridSpan w:val="12"/>
          </w:tcPr>
          <w:p>
            <w:pPr>
              <w:spacing w:after="0"/>
              <w:rPr>
                <w:sz w:val="13"/>
                <w:szCs w:val="13"/>
                <w:color w:val="auto"/>
              </w:rPr>
            </w:pPr>
          </w:p>
        </w:tc>
        <w:tc>
          <w:tcPr>
            <w:tcW w:w="23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29</w:t>
            </w:r>
          </w:p>
        </w:tc>
      </w:tr>
      <w:tr>
        <w:trPr>
          <w:trHeight w:val="20"/>
        </w:trPr>
        <w:tc>
          <w:tcPr>
            <w:tcW w:w="600" w:type="dxa"/>
            <w:vAlign w:val="bottom"/>
            <w:shd w:val="clear" w:color="auto" w:fill="0000EE"/>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51"/>
        </w:trPr>
        <w:tc>
          <w:tcPr>
            <w:tcW w:w="2240" w:type="dxa"/>
            <w:vAlign w:val="bottom"/>
            <w:tcBorders>
              <w:bottom w:val="single" w:sz="8" w:color="0000EE"/>
            </w:tcBorders>
            <w:gridSpan w:val="8"/>
          </w:tcPr>
          <w:p>
            <w:pPr>
              <w:spacing w:after="0" w:line="151" w:lineRule="exact"/>
              <w:rPr>
                <w:sz w:val="20"/>
                <w:szCs w:val="20"/>
                <w:color w:val="auto"/>
              </w:rPr>
            </w:pPr>
            <w:r>
              <w:rPr>
                <w:rFonts w:ascii="Times New Roman" w:cs="Times New Roman" w:eastAsia="Times New Roman" w:hAnsi="Times New Roman"/>
                <w:sz w:val="14"/>
                <w:szCs w:val="14"/>
                <w:color w:val="0000EE"/>
              </w:rPr>
              <w:t>INCORPORATION BY REFERENCE</w:t>
            </w:r>
          </w:p>
        </w:tc>
        <w:tc>
          <w:tcPr>
            <w:tcW w:w="4100" w:type="dxa"/>
            <w:vAlign w:val="bottom"/>
            <w:gridSpan w:val="8"/>
          </w:tcPr>
          <w:p>
            <w:pPr>
              <w:spacing w:after="0"/>
              <w:rPr>
                <w:sz w:val="13"/>
                <w:szCs w:val="13"/>
                <w:color w:val="auto"/>
              </w:rPr>
            </w:pPr>
          </w:p>
        </w:tc>
        <w:tc>
          <w:tcPr>
            <w:tcW w:w="23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30</w:t>
            </w:r>
          </w:p>
        </w:tc>
      </w:tr>
      <w:tr>
        <w:trPr>
          <w:trHeight w:val="151"/>
        </w:trPr>
        <w:tc>
          <w:tcPr>
            <w:tcW w:w="3020" w:type="dxa"/>
            <w:vAlign w:val="bottom"/>
            <w:tcBorders>
              <w:bottom w:val="single" w:sz="8" w:color="0000EE"/>
            </w:tcBorders>
            <w:gridSpan w:val="13"/>
          </w:tcPr>
          <w:p>
            <w:pPr>
              <w:spacing w:after="0" w:line="151"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3320" w:type="dxa"/>
            <w:vAlign w:val="bottom"/>
            <w:gridSpan w:val="3"/>
          </w:tcPr>
          <w:p>
            <w:pPr>
              <w:spacing w:after="0"/>
              <w:rPr>
                <w:sz w:val="13"/>
                <w:szCs w:val="13"/>
                <w:color w:val="auto"/>
              </w:rPr>
            </w:pPr>
          </w:p>
        </w:tc>
        <w:tc>
          <w:tcPr>
            <w:tcW w:w="23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31</w:t>
            </w:r>
          </w:p>
        </w:tc>
      </w:tr>
    </w:tbl>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91"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4" w:lineRule="exact"/>
        <w:rPr>
          <w:sz w:val="20"/>
          <w:szCs w:val="20"/>
          <w:color w:val="auto"/>
        </w:rPr>
      </w:pPr>
    </w:p>
    <w:p>
      <w:pPr>
        <w:ind w:left="1280" w:right="159"/>
        <w:spacing w:after="0" w:line="273" w:lineRule="auto"/>
        <w:rPr>
          <w:sz w:val="20"/>
          <w:szCs w:val="20"/>
          <w:color w:val="auto"/>
        </w:rPr>
      </w:pPr>
      <w:r>
        <w:rPr>
          <w:rFonts w:ascii="Times New Roman" w:cs="Times New Roman" w:eastAsia="Times New Roman" w:hAnsi="Times New Roman"/>
          <w:sz w:val="14"/>
          <w:szCs w:val="14"/>
          <w:color w:val="auto"/>
        </w:rPr>
        <w:t>To understand the terms of the securities offered by this prospectus, you should carefully read this prospectus and any applicable prospectus supplement. You should also read the documents referred to under the heading “Where You Can Find More Information” for information on us and the business conducted by us.</w:t>
      </w:r>
    </w:p>
    <w:p>
      <w:pPr>
        <w:spacing w:after="0" w:line="136" w:lineRule="exact"/>
        <w:rPr>
          <w:sz w:val="20"/>
          <w:szCs w:val="20"/>
          <w:color w:val="auto"/>
        </w:rPr>
      </w:pPr>
    </w:p>
    <w:p>
      <w:pPr>
        <w:ind w:left="1280" w:right="259"/>
        <w:spacing w:after="0" w:line="267"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S-3 that Alignment Healthcare, Inc., a Delaware corporation, which is also referred to as the “Company,” “we,” “us,” and “our,” has filed with the U.S. Securities and Exchange Commission, or the SEC, using a “shelf” registration procedure. Under this procedure, we may offer and sell from time to time, any of the following, in one or more series, which we refer to in this prospectus as the “securities:”</w:t>
      </w:r>
    </w:p>
    <w:p>
      <w:pPr>
        <w:spacing w:after="0" w:line="65" w:lineRule="exact"/>
        <w:rPr>
          <w:sz w:val="20"/>
          <w:szCs w:val="20"/>
          <w:color w:val="auto"/>
        </w:rPr>
      </w:pPr>
    </w:p>
    <w:p>
      <w:pPr>
        <w:ind w:left="2040" w:hanging="337"/>
        <w:spacing w:after="0"/>
        <w:tabs>
          <w:tab w:leader="none" w:pos="2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preferred stock,</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depositary shares,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contracts, and</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w:t>
      </w:r>
    </w:p>
    <w:p>
      <w:pPr>
        <w:spacing w:after="0" w:line="1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In addition, under this procedure, selling stockholders may offer and sell, from time to time in one or more offerings, shares of our common stock.</w:t>
      </w:r>
    </w:p>
    <w:p>
      <w:pPr>
        <w:spacing w:after="0" w:line="182" w:lineRule="exact"/>
        <w:rPr>
          <w:sz w:val="20"/>
          <w:szCs w:val="20"/>
          <w:color w:val="auto"/>
        </w:rPr>
      </w:pPr>
    </w:p>
    <w:p>
      <w:pPr>
        <w:ind w:left="1280" w:right="419"/>
        <w:spacing w:after="0" w:line="291" w:lineRule="auto"/>
        <w:rPr>
          <w:sz w:val="20"/>
          <w:szCs w:val="20"/>
          <w:color w:val="auto"/>
        </w:rPr>
      </w:pPr>
      <w:r>
        <w:rPr>
          <w:rFonts w:ascii="Times New Roman" w:cs="Times New Roman" w:eastAsia="Times New Roman" w:hAnsi="Times New Roman"/>
          <w:sz w:val="14"/>
          <w:szCs w:val="14"/>
          <w:color w:val="auto"/>
        </w:rPr>
        <w:t>The securities may be sold for U.S. dollars, foreign-denominated currency or currency units. Amounts payable with respect to any securities may be payable in U.S. dollars or foreign-denominated currency or currency units as specified in the applicable prospectus supplement.</w:t>
      </w:r>
    </w:p>
    <w:p>
      <w:pPr>
        <w:spacing w:after="0" w:line="124" w:lineRule="exact"/>
        <w:rPr>
          <w:sz w:val="20"/>
          <w:szCs w:val="20"/>
          <w:color w:val="auto"/>
        </w:rPr>
      </w:pPr>
    </w:p>
    <w:p>
      <w:pPr>
        <w:ind w:left="1280" w:right="159"/>
        <w:spacing w:after="0" w:line="264" w:lineRule="auto"/>
        <w:rPr>
          <w:sz w:val="20"/>
          <w:szCs w:val="20"/>
          <w:color w:val="auto"/>
        </w:rPr>
      </w:pPr>
      <w:r>
        <w:rPr>
          <w:rFonts w:ascii="Times New Roman" w:cs="Times New Roman" w:eastAsia="Times New Roman" w:hAnsi="Times New Roman"/>
          <w:sz w:val="14"/>
          <w:szCs w:val="14"/>
          <w:color w:val="auto"/>
        </w:rPr>
        <w:t>This prospectus provides you with a general description of the securities we may offer. Each time we offer securities, or selling stockholders offer and sell shares of common stock, we or selling stockholders will provide you with a prospectus supplement that will describe the specific amounts, prices and terms of the securities being offered. The prospectus supplement may also add, update or change information contained or incorporated by reference in this prospectus. If there is any inconsistency between the information in this prospectus and any prospectus supplement, you should rely on the information in the prospectus supplement.</w:t>
      </w:r>
    </w:p>
    <w:p>
      <w:pPr>
        <w:spacing w:after="0" w:line="143" w:lineRule="exact"/>
        <w:rPr>
          <w:sz w:val="20"/>
          <w:szCs w:val="20"/>
          <w:color w:val="auto"/>
        </w:rPr>
      </w:pPr>
    </w:p>
    <w:p>
      <w:pPr>
        <w:ind w:left="1280" w:right="199"/>
        <w:spacing w:after="0" w:line="291" w:lineRule="auto"/>
        <w:rPr>
          <w:sz w:val="20"/>
          <w:szCs w:val="20"/>
          <w:color w:val="auto"/>
        </w:rPr>
      </w:pPr>
      <w:r>
        <w:rPr>
          <w:rFonts w:ascii="Times New Roman" w:cs="Times New Roman" w:eastAsia="Times New Roman" w:hAnsi="Times New Roman"/>
          <w:sz w:val="14"/>
          <w:szCs w:val="14"/>
          <w:color w:val="auto"/>
        </w:rPr>
        <w:t>The prospectus supplement may also contain information about any material U.S. federal income tax considerations relating to the securities covered by the prospectus supplement.</w:t>
      </w:r>
    </w:p>
    <w:p>
      <w:pPr>
        <w:spacing w:after="0" w:line="124" w:lineRule="exact"/>
        <w:rPr>
          <w:sz w:val="20"/>
          <w:szCs w:val="20"/>
          <w:color w:val="auto"/>
        </w:rPr>
      </w:pPr>
    </w:p>
    <w:p>
      <w:pPr>
        <w:ind w:left="1280" w:right="159"/>
        <w:spacing w:after="0" w:line="267" w:lineRule="auto"/>
        <w:rPr>
          <w:sz w:val="20"/>
          <w:szCs w:val="20"/>
          <w:color w:val="auto"/>
        </w:rPr>
      </w:pPr>
      <w:r>
        <w:rPr>
          <w:rFonts w:ascii="Times New Roman" w:cs="Times New Roman" w:eastAsia="Times New Roman" w:hAnsi="Times New Roman"/>
          <w:sz w:val="14"/>
          <w:szCs w:val="14"/>
          <w:color w:val="auto"/>
        </w:rPr>
        <w:t>We and selling stockholders may sell securities to underwriters who will sell the securities to the public on terms fixed at the time of sale. In addition, the securities may be sold by us or selling stockholders directly or through dealers or agents designated from time to time, which agents may be affiliates of ours. If we or selling stockholders, directly or through agents, solicit offers to purchase the securities, we, selling stockholders and our and their agents reserve the sole right to accept and to reject, in whole or in part, any offer.</w:t>
      </w:r>
    </w:p>
    <w:p>
      <w:pPr>
        <w:spacing w:after="0" w:line="140" w:lineRule="exact"/>
        <w:rPr>
          <w:sz w:val="20"/>
          <w:szCs w:val="20"/>
          <w:color w:val="auto"/>
        </w:rPr>
      </w:pPr>
    </w:p>
    <w:p>
      <w:pPr>
        <w:ind w:left="1280" w:right="159"/>
        <w:spacing w:after="0" w:line="291" w:lineRule="auto"/>
        <w:rPr>
          <w:sz w:val="20"/>
          <w:szCs w:val="20"/>
          <w:color w:val="auto"/>
        </w:rPr>
      </w:pPr>
      <w:r>
        <w:rPr>
          <w:rFonts w:ascii="Times New Roman" w:cs="Times New Roman" w:eastAsia="Times New Roman" w:hAnsi="Times New Roman"/>
          <w:sz w:val="14"/>
          <w:szCs w:val="14"/>
          <w:color w:val="auto"/>
        </w:rPr>
        <w:t>The prospectus supplement will also contain, with respect to the securities being sold, the names of any underwriters, dealers or agents, together with the terms of the offering, the compensation of any underwriters, dealers or agents and the net proceeds to us, or any selling stockholders, as applicable.</w:t>
      </w:r>
    </w:p>
    <w:p>
      <w:pPr>
        <w:spacing w:after="0" w:line="124" w:lineRule="exact"/>
        <w:rPr>
          <w:sz w:val="20"/>
          <w:szCs w:val="20"/>
          <w:color w:val="auto"/>
        </w:rPr>
      </w:pPr>
    </w:p>
    <w:p>
      <w:pPr>
        <w:ind w:left="1280" w:right="419"/>
        <w:spacing w:after="0" w:line="291" w:lineRule="auto"/>
        <w:rPr>
          <w:sz w:val="20"/>
          <w:szCs w:val="20"/>
          <w:color w:val="auto"/>
        </w:rPr>
      </w:pPr>
      <w:r>
        <w:rPr>
          <w:rFonts w:ascii="Times New Roman" w:cs="Times New Roman" w:eastAsia="Times New Roman" w:hAnsi="Times New Roman"/>
          <w:sz w:val="14"/>
          <w:szCs w:val="14"/>
          <w:color w:val="auto"/>
        </w:rPr>
        <w:t>Any underwriters, dealers or agents participating in the offering may be deemed “underwriters” within the meaning of the Securities Act of 1933, as amended, which we refer to in this prospectus as the “Securities Act.”</w:t>
      </w:r>
    </w:p>
    <w:p>
      <w:pPr>
        <w:sectPr>
          <w:pgSz w:w="11900" w:h="16838" w:orient="portrait"/>
          <w:cols w:equalWidth="0" w:num="1">
            <w:col w:w="10159"/>
          </w:cols>
          <w:pgMar w:left="300" w:top="391"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809625</wp:posOffset>
            </wp:positionH>
            <wp:positionV relativeFrom="paragraph">
              <wp:posOffset>170815</wp:posOffset>
            </wp:positionV>
            <wp:extent cx="5554980" cy="2038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54980" cy="2038985"/>
                    </a:xfrm>
                    <a:prstGeom prst="rect">
                      <a:avLst/>
                    </a:prstGeom>
                    <a:noFill/>
                  </pic:spPr>
                </pic:pic>
              </a:graphicData>
            </a:graphic>
          </wp:anchor>
        </w:drawing>
      </w:r>
    </w:p>
    <w:p>
      <w:pPr>
        <w:spacing w:after="0" w:line="3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84" w:lineRule="exact"/>
        <w:rPr>
          <w:sz w:val="20"/>
          <w:szCs w:val="20"/>
          <w:color w:val="auto"/>
        </w:rPr>
      </w:pPr>
    </w:p>
    <w:p>
      <w:pPr>
        <w:ind w:left="1420" w:right="359"/>
        <w:spacing w:after="0" w:line="260" w:lineRule="auto"/>
        <w:rPr>
          <w:sz w:val="20"/>
          <w:szCs w:val="20"/>
          <w:color w:val="auto"/>
        </w:rPr>
      </w:pPr>
      <w:r>
        <w:rPr>
          <w:rFonts w:ascii="Times New Roman" w:cs="Times New Roman" w:eastAsia="Times New Roman" w:hAnsi="Times New Roman"/>
          <w:sz w:val="14"/>
          <w:szCs w:val="14"/>
          <w:color w:val="auto"/>
        </w:rPr>
        <w:t>We are a next generation, consumer-centric and clinically focused platform designed to improve the healthcare experience for seniors enrolled in Medicare who choose a private Medicare Advantage plan. Our goal is to provide seniors with easier access to care, better coordination among providers, fewer gaps in care and avoidable hospital visits, and support that meets them where they are—at home, online, or in their community. We deliver this experience through our wide variety of Medicare Advantage plans, which offer varied benefits tailored to the diverse needs, preferences, and lifestyles of seniors. We believe our plans are differentiated because of our unique ability to manage costs by delivering proactive care and manage chronic conditions through an integrated clinical and technology model. Our operations primarily consist of Medicare Advantage Plans in the states of California, North Carolina, Nevada, Arizona and Texas. Our ultimate goal is to bring this differentiated, advocacy-driven healthcare experience to millions of senior consumers in the United States and to become the most trusted senior healthcare brand in the country.</w:t>
      </w:r>
    </w:p>
    <w:p>
      <w:pPr>
        <w:spacing w:after="0" w:line="147" w:lineRule="exact"/>
        <w:rPr>
          <w:sz w:val="20"/>
          <w:szCs w:val="20"/>
          <w:color w:val="auto"/>
        </w:rPr>
      </w:pPr>
    </w:p>
    <w:p>
      <w:pPr>
        <w:ind w:left="1420" w:right="359"/>
        <w:spacing w:after="0" w:line="273" w:lineRule="auto"/>
        <w:rPr>
          <w:sz w:val="20"/>
          <w:szCs w:val="20"/>
          <w:color w:val="auto"/>
        </w:rPr>
      </w:pPr>
      <w:r>
        <w:rPr>
          <w:rFonts w:ascii="Times New Roman" w:cs="Times New Roman" w:eastAsia="Times New Roman" w:hAnsi="Times New Roman"/>
          <w:sz w:val="14"/>
          <w:szCs w:val="14"/>
          <w:color w:val="auto"/>
        </w:rPr>
        <w:t>For a description of our business, financial condition, results of operations and other important information regarding us, see our filings with the SEC incorporated by reference in this prospectus. For instructions on how to find copies of the filings incorporated by reference in this prospectus, see “Where You Can Find More Information.”</w:t>
      </w:r>
    </w:p>
    <w:p>
      <w:pPr>
        <w:spacing w:after="0" w:line="136" w:lineRule="exact"/>
        <w:rPr>
          <w:sz w:val="20"/>
          <w:szCs w:val="20"/>
          <w:color w:val="auto"/>
        </w:rPr>
      </w:pPr>
    </w:p>
    <w:p>
      <w:pPr>
        <w:ind w:left="1420" w:right="479"/>
        <w:spacing w:after="0" w:line="291" w:lineRule="auto"/>
        <w:rPr>
          <w:sz w:val="20"/>
          <w:szCs w:val="20"/>
          <w:color w:val="auto"/>
        </w:rPr>
      </w:pPr>
      <w:r>
        <w:rPr>
          <w:rFonts w:ascii="Times New Roman" w:cs="Times New Roman" w:eastAsia="Times New Roman" w:hAnsi="Times New Roman"/>
          <w:sz w:val="14"/>
          <w:szCs w:val="14"/>
          <w:color w:val="auto"/>
        </w:rPr>
        <w:t>Our principal executive office is located at 1100 W. Town and Country Road, Suite 1600, Orange, California 92868 and our telephone number is 1-844-310-2247.</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91"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4" w:lineRule="exact"/>
        <w:rPr>
          <w:sz w:val="20"/>
          <w:szCs w:val="20"/>
          <w:color w:val="auto"/>
        </w:rPr>
      </w:pPr>
    </w:p>
    <w:p>
      <w:pPr>
        <w:ind w:left="1280" w:right="219"/>
        <w:spacing w:after="0" w:line="264" w:lineRule="auto"/>
        <w:rPr>
          <w:sz w:val="20"/>
          <w:szCs w:val="20"/>
          <w:color w:val="auto"/>
        </w:rPr>
      </w:pPr>
      <w:r>
        <w:rPr>
          <w:rFonts w:ascii="Times New Roman" w:cs="Times New Roman" w:eastAsia="Times New Roman" w:hAnsi="Times New Roman"/>
          <w:sz w:val="14"/>
          <w:szCs w:val="14"/>
          <w:color w:val="auto"/>
        </w:rPr>
        <w:t>Investing in our securities involves risk. You should carefully consider the specific risks discussed in the applicable prospectus supplement, together with all the other information contained in the applicable prospectus supplement or incorporated by reference in this prospectus or the applicable prospectus supplement. You should also consider the risks, uncertainties and assumptions discussed under the caption “Risk Factors” included in our Form 10-K for the year ended December 31, 2025, which are incorporated by reference into this prospectus, and which may be amended, supplemented or superseded from time to time by other reports we file with the SEC in the future.</w:t>
      </w:r>
    </w:p>
    <w:p>
      <w:pPr>
        <w:spacing w:after="0" w:line="143" w:lineRule="exact"/>
        <w:rPr>
          <w:sz w:val="20"/>
          <w:szCs w:val="20"/>
          <w:color w:val="auto"/>
        </w:rPr>
      </w:pPr>
    </w:p>
    <w:p>
      <w:pPr>
        <w:ind w:left="1280" w:right="279"/>
        <w:spacing w:after="0" w:line="273" w:lineRule="auto"/>
        <w:rPr>
          <w:sz w:val="20"/>
          <w:szCs w:val="20"/>
          <w:color w:val="auto"/>
        </w:rPr>
      </w:pPr>
      <w:r>
        <w:rPr>
          <w:rFonts w:ascii="Times New Roman" w:cs="Times New Roman" w:eastAsia="Times New Roman" w:hAnsi="Times New Roman"/>
          <w:sz w:val="14"/>
          <w:szCs w:val="14"/>
          <w:color w:val="auto"/>
        </w:rPr>
        <w:t>The risks so described are not the only risks facing our company. Additional risks not presently known to us or that we currently deem immaterial may also impair our business operations. Our business, financial condition and results of operations could be materially adversely affected by any of these risks. Furthermore, the trading price of our securities could decline due to any of these risks, and you may lose all or part of your investment.</w:t>
      </w:r>
    </w:p>
    <w:p>
      <w:pPr>
        <w:spacing w:after="0" w:line="8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9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STATEMENTS REGARDING FORWARD-LOOKING INFORMATION</w:t>
      </w:r>
    </w:p>
    <w:p>
      <w:pPr>
        <w:spacing w:after="0" w:line="184" w:lineRule="exact"/>
        <w:rPr>
          <w:sz w:val="20"/>
          <w:szCs w:val="20"/>
          <w:color w:val="auto"/>
        </w:rPr>
      </w:pPr>
    </w:p>
    <w:p>
      <w:pPr>
        <w:ind w:left="1280" w:right="239"/>
        <w:spacing w:after="0" w:line="258" w:lineRule="auto"/>
        <w:rPr>
          <w:sz w:val="20"/>
          <w:szCs w:val="20"/>
          <w:color w:val="auto"/>
        </w:rPr>
      </w:pPr>
      <w:r>
        <w:rPr>
          <w:rFonts w:ascii="Times New Roman" w:cs="Times New Roman" w:eastAsia="Times New Roman" w:hAnsi="Times New Roman"/>
          <w:sz w:val="14"/>
          <w:szCs w:val="14"/>
          <w:color w:val="auto"/>
        </w:rPr>
        <w:t>Certain information included in this prospectus or in other materials we have filed or will file with the SEC (as well as information included in oral statements or other written statements made or to be made by us) includes forward-looking statements. This prospectus contains forward-looking statements that are subject to risks and uncertainties. All statements other than statements of historical fact included in this prospectus are forward-looking statements. Forward-looking statements give current expectations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For example, all statements we make relating to our estimated and projected costs, expenditures, cash flows, growth rates and financial results, our plans and objectives for future operations, growth or initiatives, strategies or the expected outcome or impact of pending or threatened litigation are forward-looking statements. All such forward-looking statements are made under the provisions of the U.S. Private Securities Litigation Reform Act of 1995, Section 27A of the U.S. Securities Act of 1933, as amended (the “Securities Act”), and Section 21E of the Exchange Act. All forward-looking statements are subject to risks and uncertainties that may cause actual results to differ materially from those that we expected, including:</w:t>
      </w:r>
    </w:p>
    <w:p>
      <w:pPr>
        <w:spacing w:after="0" w:line="74" w:lineRule="exact"/>
        <w:rPr>
          <w:sz w:val="20"/>
          <w:szCs w:val="20"/>
          <w:color w:val="auto"/>
        </w:rPr>
      </w:pPr>
    </w:p>
    <w:p>
      <w:pPr>
        <w:ind w:left="2040" w:hanging="337"/>
        <w:spacing w:after="0"/>
        <w:tabs>
          <w:tab w:leader="none" w:pos="2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history of net losses, and our ability to achieve or maintain profitability in an environment of increasing expenses;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viability of our growth strategy and our ability to realize expected results;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new members and to successfully enter into new markets;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quality and pricing of our products and services;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 high rating for our plans on the Five Star Quality Rating System;</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maintain satisfactory relationships with care providers that service our members;</w:t>
      </w:r>
    </w:p>
    <w:p>
      <w:pPr>
        <w:spacing w:after="0" w:line="106" w:lineRule="exact"/>
        <w:rPr>
          <w:rFonts w:ascii="Times New Roman" w:cs="Times New Roman" w:eastAsia="Times New Roman" w:hAnsi="Times New Roman"/>
          <w:sz w:val="14"/>
          <w:szCs w:val="14"/>
          <w:color w:val="auto"/>
        </w:rPr>
      </w:pPr>
    </w:p>
    <w:p>
      <w:pPr>
        <w:ind w:left="2040" w:right="659" w:hanging="337"/>
        <w:spacing w:after="0" w:line="291" w:lineRule="auto"/>
        <w:tabs>
          <w:tab w:leader="none" w:pos="2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our growth effectively, execute our business plan, maintain high levels of service and member satisfaction or adequately address competitive challenges;</w:t>
      </w:r>
    </w:p>
    <w:p>
      <w:pPr>
        <w:spacing w:after="0" w:line="48"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in the healthcare industry;</w:t>
      </w:r>
    </w:p>
    <w:p>
      <w:pPr>
        <w:spacing w:after="0" w:line="106" w:lineRule="exact"/>
        <w:rPr>
          <w:rFonts w:ascii="Times New Roman" w:cs="Times New Roman" w:eastAsia="Times New Roman" w:hAnsi="Times New Roman"/>
          <w:sz w:val="14"/>
          <w:szCs w:val="14"/>
          <w:color w:val="auto"/>
        </w:rPr>
      </w:pPr>
    </w:p>
    <w:p>
      <w:pPr>
        <w:ind w:left="2040" w:right="239" w:hanging="337"/>
        <w:spacing w:after="0" w:line="291" w:lineRule="auto"/>
        <w:tabs>
          <w:tab w:leader="none" w:pos="2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our business of cybersecurity breaches, loss of data or other disruptions causing the compromise of sensitive information or preventing us from accessing critical information;</w:t>
      </w:r>
    </w:p>
    <w:p>
      <w:pPr>
        <w:spacing w:after="0" w:line="48"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our business of disruptions in our disaster recovery systems or management continuity planning;</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reimbursements by the Centers for Medicare and Medicaid Services (“CMS”) and premium payments by individuals;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associated with being a government contractor;</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our business of the healthcare services industry becoming more cyclical;</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acquisitions, divestitures and other significant transactions successfully;</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enhance and protect our reputation and brand recognition;</w:t>
      </w:r>
    </w:p>
    <w:p>
      <w:pPr>
        <w:spacing w:after="0" w:line="106" w:lineRule="exact"/>
        <w:rPr>
          <w:rFonts w:ascii="Times New Roman" w:cs="Times New Roman" w:eastAsia="Times New Roman" w:hAnsi="Times New Roman"/>
          <w:sz w:val="14"/>
          <w:szCs w:val="14"/>
          <w:color w:val="auto"/>
        </w:rPr>
      </w:pPr>
    </w:p>
    <w:p>
      <w:pPr>
        <w:ind w:left="2040" w:right="219" w:hanging="337"/>
        <w:spacing w:after="0" w:line="291" w:lineRule="auto"/>
        <w:tabs>
          <w:tab w:leader="none" w:pos="2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invest in, implement improvements to and properly maintain the uninterrupted operation and data integrity of our information technology and other business systems;</w:t>
      </w:r>
    </w:p>
    <w:p>
      <w:pPr>
        <w:spacing w:after="0" w:line="48"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protect and enforce intellectual property protection for our technology;</w:t>
      </w:r>
    </w:p>
    <w:p>
      <w:pPr>
        <w:spacing w:after="0" w:line="12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9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ind w:left="2040" w:hanging="337"/>
        <w:spacing w:after="0"/>
        <w:tabs>
          <w:tab w:leader="none" w:pos="2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any restrictions on our use of or ability to license data or our failure to license data and integrate third-party technologies;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other potential adverse impacts of legal proceedings and litigation, including intellectual property and privacy disputes;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our senior management team and other key employees;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concentration of our health plans in a limited number of U.S. states;</w:t>
      </w:r>
    </w:p>
    <w:p>
      <w:pPr>
        <w:spacing w:after="0" w:line="106" w:lineRule="exact"/>
        <w:rPr>
          <w:rFonts w:ascii="Times New Roman" w:cs="Times New Roman" w:eastAsia="Times New Roman" w:hAnsi="Times New Roman"/>
          <w:sz w:val="14"/>
          <w:szCs w:val="14"/>
          <w:color w:val="auto"/>
        </w:rPr>
      </w:pPr>
    </w:p>
    <w:p>
      <w:pPr>
        <w:ind w:left="2040" w:right="359" w:hanging="337"/>
        <w:spacing w:after="0" w:line="291" w:lineRule="auto"/>
        <w:tabs>
          <w:tab w:leader="none" w:pos="2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generate sufficient cash flow to service all of our indebtedness and the potential impact of certain affirmative and negative covenants in our credit agreement on our business;</w:t>
      </w:r>
    </w:p>
    <w:p>
      <w:pPr>
        <w:spacing w:after="0" w:line="48"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shortages of qualified personnel and related increases in our labor costs;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our records may contain inaccurate or unsupportable information regarding risk adjustment scores of members;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accurately estimate incurred but not reported medical expenses;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negative publicity regarding the managed healthcare industry;</w:t>
      </w:r>
    </w:p>
    <w:p>
      <w:pPr>
        <w:spacing w:after="0" w:line="106" w:lineRule="exact"/>
        <w:rPr>
          <w:rFonts w:ascii="Times New Roman" w:cs="Times New Roman" w:eastAsia="Times New Roman" w:hAnsi="Times New Roman"/>
          <w:sz w:val="14"/>
          <w:szCs w:val="14"/>
          <w:color w:val="auto"/>
        </w:rPr>
      </w:pPr>
    </w:p>
    <w:p>
      <w:pPr>
        <w:ind w:left="2040" w:right="259" w:hanging="337"/>
        <w:spacing w:after="0" w:line="291" w:lineRule="auto"/>
        <w:tabs>
          <w:tab w:leader="none" w:pos="2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weather and other factors beyond our control on our clinics, the centers out of which our external providers operate, and the facilities that host our AVA platform (as defined below);</w:t>
      </w:r>
    </w:p>
    <w:p>
      <w:pPr>
        <w:spacing w:after="0" w:line="48" w:lineRule="exact"/>
        <w:rPr>
          <w:rFonts w:ascii="Times New Roman" w:cs="Times New Roman" w:eastAsia="Times New Roman" w:hAnsi="Times New Roman"/>
          <w:sz w:val="14"/>
          <w:szCs w:val="14"/>
          <w:color w:val="auto"/>
        </w:rPr>
      </w:pPr>
    </w:p>
    <w:p>
      <w:pPr>
        <w:ind w:left="2040" w:right="239" w:hanging="337"/>
        <w:spacing w:after="0" w:line="291" w:lineRule="auto"/>
        <w:tabs>
          <w:tab w:leader="none" w:pos="2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our business of renegotiation, non-renewal or termination of risk agreements with hospitals, physicians, nurses, pharmacists and medical support staff;</w:t>
      </w:r>
    </w:p>
    <w:p>
      <w:pPr>
        <w:spacing w:after="0" w:line="48"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estimating the amount of liabilities that we recognize under our risk agreements with providers;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respond to general economic conditions, including but not limited to, increased inflation and higher interest rates;</w:t>
      </w:r>
    </w:p>
    <w:p>
      <w:pPr>
        <w:spacing w:after="0" w:line="106" w:lineRule="exact"/>
        <w:rPr>
          <w:rFonts w:ascii="Times New Roman" w:cs="Times New Roman" w:eastAsia="Times New Roman" w:hAnsi="Times New Roman"/>
          <w:sz w:val="14"/>
          <w:szCs w:val="14"/>
          <w:color w:val="auto"/>
        </w:rPr>
      </w:pPr>
    </w:p>
    <w:p>
      <w:pPr>
        <w:ind w:left="2040" w:right="459" w:hanging="337"/>
        <w:spacing w:after="0" w:line="291" w:lineRule="auto"/>
        <w:tabs>
          <w:tab w:leader="none" w:pos="2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an economic downturn, including pressure on governmental budgets and reduced spending for health and human service programs;</w:t>
      </w:r>
    </w:p>
    <w:p>
      <w:pPr>
        <w:spacing w:after="0" w:line="48"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maintain proper and effective internal control over financial reporting;</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state and federal efforts to reduce Medicare spending;</w:t>
      </w:r>
    </w:p>
    <w:p>
      <w:pPr>
        <w:spacing w:after="0" w:line="106" w:lineRule="exact"/>
        <w:rPr>
          <w:rFonts w:ascii="Times New Roman" w:cs="Times New Roman" w:eastAsia="Times New Roman" w:hAnsi="Times New Roman"/>
          <w:sz w:val="14"/>
          <w:szCs w:val="14"/>
          <w:color w:val="auto"/>
        </w:rPr>
      </w:pPr>
    </w:p>
    <w:p>
      <w:pPr>
        <w:ind w:left="2040" w:right="379" w:hanging="337"/>
        <w:spacing w:after="0" w:line="291" w:lineRule="auto"/>
        <w:tabs>
          <w:tab w:leader="none" w:pos="2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applicable federal, state and local rules and regulations, including those relating to data privacy and security; and</w:t>
      </w:r>
    </w:p>
    <w:p>
      <w:pPr>
        <w:spacing w:after="0" w:line="48"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disclosed in the section entitled “Risk Factors” and elsewhere in this prospectus.</w:t>
      </w:r>
    </w:p>
    <w:p>
      <w:pPr>
        <w:spacing w:after="0" w:line="182" w:lineRule="exact"/>
        <w:rPr>
          <w:sz w:val="20"/>
          <w:szCs w:val="20"/>
          <w:color w:val="auto"/>
        </w:rPr>
      </w:pPr>
    </w:p>
    <w:p>
      <w:pPr>
        <w:ind w:left="1280" w:right="219"/>
        <w:spacing w:after="0" w:line="259" w:lineRule="auto"/>
        <w:rPr>
          <w:sz w:val="20"/>
          <w:szCs w:val="20"/>
          <w:color w:val="auto"/>
        </w:rPr>
      </w:pPr>
      <w:r>
        <w:rPr>
          <w:rFonts w:ascii="Times New Roman" w:cs="Times New Roman" w:eastAsia="Times New Roman" w:hAnsi="Times New Roman"/>
          <w:sz w:val="14"/>
          <w:szCs w:val="14"/>
          <w:color w:val="auto"/>
        </w:rPr>
        <w:t>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Important factors that could cause actual results to differ materially from our expectations, or cautionary statements, are disclosed under the sections entitled “Risk Factors” incorporated by reference into this prospectus from our most recent Annual Report on Form 10-K and any subsequent Quarterly Reports on Form 10-Q and contained in or incorporated by reference into any prospectus supplement and other matters described herein generally. All written and oral forward-looking statements attributable to us, or persons acting on our behalf, are expressly qualified in their entirety by these cautionary statements as well as other cautionary statements that are made from time to time in our other SEC filings and public communications. You should evaluate all forward-looking statements made in this prospectus in the context of these risks and uncertainties.</w:t>
      </w:r>
    </w:p>
    <w:p>
      <w:pPr>
        <w:spacing w:after="0" w:line="9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91"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ind w:left="1280" w:right="139"/>
        <w:spacing w:after="0" w:line="264" w:lineRule="auto"/>
        <w:rPr>
          <w:sz w:val="20"/>
          <w:szCs w:val="20"/>
          <w:color w:val="auto"/>
        </w:rPr>
      </w:pPr>
      <w:r>
        <w:rPr>
          <w:rFonts w:ascii="Times New Roman" w:cs="Times New Roman" w:eastAsia="Times New Roman" w:hAnsi="Times New Roman"/>
          <w:sz w:val="14"/>
          <w:szCs w:val="14"/>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prospectus are made only as of the date hereof. We undertake no obligation to update or revise any forward-looking statement as a result of new information, future events or otherwise, except as otherwise required by law.</w:t>
      </w:r>
    </w:p>
    <w:p>
      <w:pPr>
        <w:spacing w:after="0" w:line="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91"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4" w:lineRule="exact"/>
        <w:rPr>
          <w:sz w:val="20"/>
          <w:szCs w:val="20"/>
          <w:color w:val="auto"/>
        </w:rPr>
      </w:pPr>
    </w:p>
    <w:p>
      <w:pPr>
        <w:ind w:left="1280" w:right="239"/>
        <w:spacing w:after="0" w:line="291"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we will use the net proceeds from the sale of the securities offered by us for general corporate purposes, which may include, among other things, debt repayment, working capital and capital expenditures.</w:t>
      </w:r>
    </w:p>
    <w:p>
      <w:pPr>
        <w:spacing w:after="0" w:line="1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We will not receive any proceeds from the resale of our common stock by selling stockholders.</w:t>
      </w:r>
    </w:p>
    <w:p>
      <w:pPr>
        <w:spacing w:after="0" w:line="12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91"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DESCRIPTION OF THE DEBT SECURITIES</w:t>
      </w:r>
    </w:p>
    <w:p>
      <w:pPr>
        <w:spacing w:after="0" w:line="1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8" w:lineRule="exact"/>
        <w:rPr>
          <w:sz w:val="20"/>
          <w:szCs w:val="20"/>
          <w:color w:val="auto"/>
        </w:rPr>
      </w:pPr>
    </w:p>
    <w:p>
      <w:pPr>
        <w:ind w:left="1280" w:right="319"/>
        <w:spacing w:after="0" w:line="273" w:lineRule="auto"/>
        <w:rPr>
          <w:sz w:val="20"/>
          <w:szCs w:val="20"/>
          <w:color w:val="auto"/>
        </w:rPr>
      </w:pPr>
      <w:r>
        <w:rPr>
          <w:rFonts w:ascii="Times New Roman" w:cs="Times New Roman" w:eastAsia="Times New Roman" w:hAnsi="Times New Roman"/>
          <w:sz w:val="14"/>
          <w:szCs w:val="14"/>
          <w:color w:val="auto"/>
        </w:rPr>
        <w:t>The following description of the terms of our debt securities sets forth certain general terms and provisions of the debt securities to which any prospectus supplement may relate. The particular terms of any debt securities and the extent, if any, to which such general provisions will not apply to such debt securities will be described in the prospectus supplement relating to such debt securities.</w:t>
      </w:r>
    </w:p>
    <w:p>
      <w:pPr>
        <w:spacing w:after="0" w:line="136" w:lineRule="exact"/>
        <w:rPr>
          <w:sz w:val="20"/>
          <w:szCs w:val="20"/>
          <w:color w:val="auto"/>
        </w:rPr>
      </w:pPr>
    </w:p>
    <w:p>
      <w:pPr>
        <w:ind w:left="1280" w:right="299"/>
        <w:spacing w:after="0" w:line="273" w:lineRule="auto"/>
        <w:rPr>
          <w:sz w:val="20"/>
          <w:szCs w:val="20"/>
          <w:color w:val="auto"/>
        </w:rPr>
      </w:pPr>
      <w:r>
        <w:rPr>
          <w:rFonts w:ascii="Times New Roman" w:cs="Times New Roman" w:eastAsia="Times New Roman" w:hAnsi="Times New Roman"/>
          <w:sz w:val="14"/>
          <w:szCs w:val="14"/>
          <w:color w:val="auto"/>
        </w:rPr>
        <w:t>Our debt securities may be issued from time to time in one or more series. The debt securities will be issued from time to time in series under an indenture to be entered into by us and one or more trustees (the “Trustee”) (as amended or supplemented from time to time, the “indenture”). The debt securities will constitute our unsecured and unsubordinated obligations.</w:t>
      </w:r>
    </w:p>
    <w:p>
      <w:pPr>
        <w:spacing w:after="0" w:line="136" w:lineRule="exact"/>
        <w:rPr>
          <w:sz w:val="20"/>
          <w:szCs w:val="20"/>
          <w:color w:val="auto"/>
        </w:rPr>
      </w:pPr>
    </w:p>
    <w:p>
      <w:pPr>
        <w:ind w:left="1280" w:right="139"/>
        <w:spacing w:after="0" w:line="267" w:lineRule="auto"/>
        <w:rPr>
          <w:sz w:val="20"/>
          <w:szCs w:val="20"/>
          <w:color w:val="auto"/>
        </w:rPr>
      </w:pPr>
      <w:r>
        <w:rPr>
          <w:rFonts w:ascii="Times New Roman" w:cs="Times New Roman" w:eastAsia="Times New Roman" w:hAnsi="Times New Roman"/>
          <w:sz w:val="14"/>
          <w:szCs w:val="14"/>
          <w:color w:val="auto"/>
        </w:rPr>
        <w:t>The statements set forth below are brief summaries of certain provisions contained in the indenture, which summaries do not purport to be complete and are qualified in their entirety by reference to the indenture, which is incorporated by reference as an exhibit or filed as an exhibit to the registration statement of which this prospectus forms a part. Terms used herein that are otherwise not defined shall have the meanings given to them in the indenture. Such defined terms shall be incorporated herein by reference.</w:t>
      </w:r>
    </w:p>
    <w:p>
      <w:pPr>
        <w:spacing w:after="0" w:line="140" w:lineRule="exact"/>
        <w:rPr>
          <w:sz w:val="20"/>
          <w:szCs w:val="20"/>
          <w:color w:val="auto"/>
        </w:rPr>
      </w:pPr>
    </w:p>
    <w:p>
      <w:pPr>
        <w:jc w:val="both"/>
        <w:ind w:left="1280" w:right="219"/>
        <w:spacing w:after="0" w:line="273" w:lineRule="auto"/>
        <w:rPr>
          <w:sz w:val="20"/>
          <w:szCs w:val="20"/>
          <w:color w:val="auto"/>
        </w:rPr>
      </w:pPr>
      <w:r>
        <w:rPr>
          <w:rFonts w:ascii="Times New Roman" w:cs="Times New Roman" w:eastAsia="Times New Roman" w:hAnsi="Times New Roman"/>
          <w:sz w:val="14"/>
          <w:szCs w:val="14"/>
          <w:color w:val="auto"/>
        </w:rPr>
        <w:t>The indenture does not limit the amount of debt securities that may be issued under the indenture and debt securities may be issued under the indenture up to the aggregate principal amount which may be authorized from time to time by us. Any such limit applicable to a particular series will be specified in the prospectus supplement relating to that series.</w:t>
      </w:r>
    </w:p>
    <w:p>
      <w:pPr>
        <w:spacing w:after="0" w:line="136" w:lineRule="exact"/>
        <w:rPr>
          <w:sz w:val="20"/>
          <w:szCs w:val="20"/>
          <w:color w:val="auto"/>
        </w:rPr>
      </w:pPr>
    </w:p>
    <w:p>
      <w:pPr>
        <w:ind w:left="1280" w:right="419"/>
        <w:spacing w:after="0" w:line="291" w:lineRule="auto"/>
        <w:rPr>
          <w:sz w:val="20"/>
          <w:szCs w:val="20"/>
          <w:color w:val="auto"/>
        </w:rPr>
      </w:pPr>
      <w:r>
        <w:rPr>
          <w:rFonts w:ascii="Times New Roman" w:cs="Times New Roman" w:eastAsia="Times New Roman" w:hAnsi="Times New Roman"/>
          <w:sz w:val="14"/>
          <w:szCs w:val="14"/>
          <w:color w:val="auto"/>
        </w:rPr>
        <w:t>The applicable prospectus supplement will disclose the terms of each series of debt securities in respect to which such prospectus is being delivered, including the following:</w:t>
      </w:r>
    </w:p>
    <w:p>
      <w:pPr>
        <w:spacing w:after="0" w:line="49" w:lineRule="exact"/>
        <w:rPr>
          <w:sz w:val="20"/>
          <w:szCs w:val="20"/>
          <w:color w:val="auto"/>
        </w:rPr>
      </w:pPr>
    </w:p>
    <w:p>
      <w:pPr>
        <w:ind w:left="2040" w:hanging="337"/>
        <w:spacing w:after="0"/>
        <w:tabs>
          <w:tab w:leader="none" w:pos="2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issue date of the debt securities;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debt securities is payable;</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(or manner of calculation thereof), if any, per annum at which the debt securities will bear interest;</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if any, from which interest will accrue and the interest payment date or dates for the debt securities;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of the debt securities which may be authenticated and delivered under the indenture;</w:t>
      </w:r>
    </w:p>
    <w:p>
      <w:pPr>
        <w:spacing w:after="0" w:line="106" w:lineRule="exact"/>
        <w:rPr>
          <w:rFonts w:ascii="Times New Roman" w:cs="Times New Roman" w:eastAsia="Times New Roman" w:hAnsi="Times New Roman"/>
          <w:sz w:val="14"/>
          <w:szCs w:val="14"/>
          <w:color w:val="auto"/>
        </w:rPr>
      </w:pPr>
    </w:p>
    <w:p>
      <w:pPr>
        <w:ind w:left="2040" w:right="359" w:hanging="337"/>
        <w:spacing w:after="0" w:line="273" w:lineRule="auto"/>
        <w:tabs>
          <w:tab w:leader="none" w:pos="2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within which, the redemption price or prices or the repayment price or prices, as the case may be, at which and the terms and conditions upon which the debt securities may be redeemed at the Company’s option or the option of the holder of such debt securities (a “Holder”);</w:t>
      </w:r>
    </w:p>
    <w:p>
      <w:pPr>
        <w:spacing w:after="0" w:line="61" w:lineRule="exact"/>
        <w:rPr>
          <w:rFonts w:ascii="Times New Roman" w:cs="Times New Roman" w:eastAsia="Times New Roman" w:hAnsi="Times New Roman"/>
          <w:sz w:val="14"/>
          <w:szCs w:val="14"/>
          <w:color w:val="auto"/>
        </w:rPr>
      </w:pPr>
    </w:p>
    <w:p>
      <w:pPr>
        <w:ind w:left="2040" w:right="219" w:hanging="337"/>
        <w:spacing w:after="0" w:line="273" w:lineRule="auto"/>
        <w:tabs>
          <w:tab w:leader="none" w:pos="2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if any, of the Company to purchase the debt securities pursuant to any sinking fund or analogous provisions or at the option of a Holder of such debt securities and the period or periods within which, the price or prices at which and the terms and conditions upon which such debt securities will be purchased, in whole or in part, pursuant to such obligation;</w:t>
      </w:r>
    </w:p>
    <w:p>
      <w:pPr>
        <w:spacing w:after="0" w:line="61" w:lineRule="exact"/>
        <w:rPr>
          <w:rFonts w:ascii="Times New Roman" w:cs="Times New Roman" w:eastAsia="Times New Roman" w:hAnsi="Times New Roman"/>
          <w:sz w:val="14"/>
          <w:szCs w:val="14"/>
          <w:color w:val="auto"/>
        </w:rPr>
      </w:pPr>
    </w:p>
    <w:p>
      <w:pPr>
        <w:ind w:left="2040" w:right="379" w:hanging="337"/>
        <w:spacing w:after="0" w:line="291" w:lineRule="auto"/>
        <w:tabs>
          <w:tab w:leader="none" w:pos="2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denominations of $2,000 and integral multiples of $1,000 in excess thereof, the denominations in which the debt securities will be issuable;</w:t>
      </w:r>
    </w:p>
    <w:p>
      <w:pPr>
        <w:spacing w:after="0" w:line="48" w:lineRule="exact"/>
        <w:rPr>
          <w:rFonts w:ascii="Times New Roman" w:cs="Times New Roman" w:eastAsia="Times New Roman" w:hAnsi="Times New Roman"/>
          <w:sz w:val="14"/>
          <w:szCs w:val="14"/>
          <w:color w:val="auto"/>
        </w:rPr>
      </w:pPr>
    </w:p>
    <w:p>
      <w:pPr>
        <w:ind w:left="2040" w:right="319" w:hanging="337"/>
        <w:spacing w:after="0" w:line="267" w:lineRule="auto"/>
        <w:tabs>
          <w:tab w:leader="none" w:pos="2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if any, with regard to the conversion or exchange of the debt securities, at the option of the Holders of such debt securities or the Company, as the case may be, for or into new securities of a different series, the Company’s common stock or other securities and, if such debt securities are convertible into the Company’s common stock or other Marketable Securities (as defined in the indenture), the conversion price;</w:t>
      </w:r>
    </w:p>
    <w:p>
      <w:pPr>
        <w:spacing w:after="0" w:line="8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91"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ind w:left="2040" w:right="599" w:hanging="337"/>
        <w:spacing w:after="0" w:line="291" w:lineRule="auto"/>
        <w:tabs>
          <w:tab w:leader="none" w:pos="2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U.S. dollars, the currency or currencies or units based on or related to currencies in which the debt securities will be denominated and in which payments of principal of, and any premium and interest on, such debt securities shall or may be payable;</w:t>
      </w:r>
    </w:p>
    <w:p>
      <w:pPr>
        <w:spacing w:after="0" w:line="48" w:lineRule="exact"/>
        <w:rPr>
          <w:rFonts w:ascii="Times New Roman" w:cs="Times New Roman" w:eastAsia="Times New Roman" w:hAnsi="Times New Roman"/>
          <w:sz w:val="14"/>
          <w:szCs w:val="14"/>
          <w:color w:val="auto"/>
        </w:rPr>
      </w:pPr>
    </w:p>
    <w:p>
      <w:pPr>
        <w:ind w:left="2040" w:right="219" w:hanging="337"/>
        <w:spacing w:after="0" w:line="273" w:lineRule="auto"/>
        <w:tabs>
          <w:tab w:leader="none" w:pos="2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principal of (and premium, if any) or interest, if any, on the debt securities are to be payable, at the election of the Company or a Holder of such debt securities, in a currency (including a composite currency) other than that in which such debt securities are stated to be payable, the period or periods within which, and the terms and conditions upon which, such election may be made;</w:t>
      </w:r>
    </w:p>
    <w:p>
      <w:pPr>
        <w:spacing w:after="0" w:line="61" w:lineRule="exact"/>
        <w:rPr>
          <w:rFonts w:ascii="Times New Roman" w:cs="Times New Roman" w:eastAsia="Times New Roman" w:hAnsi="Times New Roman"/>
          <w:sz w:val="14"/>
          <w:szCs w:val="14"/>
          <w:color w:val="auto"/>
        </w:rPr>
      </w:pPr>
    </w:p>
    <w:p>
      <w:pPr>
        <w:jc w:val="both"/>
        <w:ind w:left="2040" w:right="199" w:hanging="337"/>
        <w:spacing w:after="0" w:line="273" w:lineRule="auto"/>
        <w:tabs>
          <w:tab w:leader="none" w:pos="2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amount of payments of principal of (and premium, if any) or interest, if any, on the debt securities may be determined with reference to an index based on a currency (including a composite currency) other than that in which such debt securities are stated to be payable, the manner in which such amounts shall be determined;</w:t>
      </w:r>
    </w:p>
    <w:p>
      <w:pPr>
        <w:spacing w:after="0" w:line="61" w:lineRule="exact"/>
        <w:rPr>
          <w:rFonts w:ascii="Times New Roman" w:cs="Times New Roman" w:eastAsia="Times New Roman" w:hAnsi="Times New Roman"/>
          <w:sz w:val="14"/>
          <w:szCs w:val="14"/>
          <w:color w:val="auto"/>
        </w:rPr>
      </w:pPr>
    </w:p>
    <w:p>
      <w:pPr>
        <w:ind w:left="2040" w:right="279" w:hanging="337"/>
        <w:spacing w:after="0" w:line="273" w:lineRule="auto"/>
        <w:tabs>
          <w:tab w:leader="none" w:pos="2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if any, related to the exchange of the debt securities, at the option of the Holders of such debt securities, for other securities of the same series of the same aggregate principal amount or of a different authorized series or different authorized denomination or denominations, or both;</w:t>
      </w:r>
    </w:p>
    <w:p>
      <w:pPr>
        <w:spacing w:after="0" w:line="61" w:lineRule="exact"/>
        <w:rPr>
          <w:rFonts w:ascii="Times New Roman" w:cs="Times New Roman" w:eastAsia="Times New Roman" w:hAnsi="Times New Roman"/>
          <w:sz w:val="14"/>
          <w:szCs w:val="14"/>
          <w:color w:val="auto"/>
        </w:rPr>
      </w:pPr>
    </w:p>
    <w:p>
      <w:pPr>
        <w:ind w:left="2040" w:right="439" w:hanging="337"/>
        <w:spacing w:after="0" w:line="273" w:lineRule="auto"/>
        <w:tabs>
          <w:tab w:leader="none" w:pos="2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the principal amount of the debt securities, if other than the principal amount thereof, which shall be payable upon declaration of acceleration of the maturity thereof as more fully described under the section “—Events of Default, Notice and Waiver” below;</w:t>
      </w:r>
    </w:p>
    <w:p>
      <w:pPr>
        <w:spacing w:after="0" w:line="61" w:lineRule="exact"/>
        <w:rPr>
          <w:rFonts w:ascii="Times New Roman" w:cs="Times New Roman" w:eastAsia="Times New Roman" w:hAnsi="Times New Roman"/>
          <w:sz w:val="14"/>
          <w:szCs w:val="14"/>
          <w:color w:val="auto"/>
        </w:rPr>
      </w:pPr>
    </w:p>
    <w:p>
      <w:pPr>
        <w:ind w:left="2040" w:right="519" w:hanging="337"/>
        <w:spacing w:after="0" w:line="291" w:lineRule="auto"/>
        <w:tabs>
          <w:tab w:leader="none" w:pos="2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the form of global securities and, if so, the identity of the depositary with respect to such global securities; and</w:t>
      </w:r>
    </w:p>
    <w:p>
      <w:pPr>
        <w:spacing w:after="0" w:line="48"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w:t>
      </w:r>
    </w:p>
    <w:p>
      <w:pPr>
        <w:spacing w:after="0" w:line="182" w:lineRule="exact"/>
        <w:rPr>
          <w:sz w:val="20"/>
          <w:szCs w:val="20"/>
          <w:color w:val="auto"/>
        </w:rPr>
      </w:pPr>
    </w:p>
    <w:p>
      <w:pPr>
        <w:ind w:left="1280" w:right="539"/>
        <w:spacing w:after="0" w:line="291" w:lineRule="auto"/>
        <w:rPr>
          <w:sz w:val="20"/>
          <w:szCs w:val="20"/>
          <w:color w:val="auto"/>
        </w:rPr>
      </w:pPr>
      <w:r>
        <w:rPr>
          <w:rFonts w:ascii="Times New Roman" w:cs="Times New Roman" w:eastAsia="Times New Roman" w:hAnsi="Times New Roman"/>
          <w:sz w:val="14"/>
          <w:szCs w:val="14"/>
          <w:color w:val="auto"/>
        </w:rPr>
        <w:t>We may issue debt securities of any series at various times and we may reopen any series for further issuances from time to time without notice to existing Holders of securities of that series.</w:t>
      </w:r>
    </w:p>
    <w:p>
      <w:pPr>
        <w:spacing w:after="0" w:line="124" w:lineRule="exact"/>
        <w:rPr>
          <w:sz w:val="20"/>
          <w:szCs w:val="20"/>
          <w:color w:val="auto"/>
        </w:rPr>
      </w:pPr>
    </w:p>
    <w:p>
      <w:pPr>
        <w:ind w:left="1280" w:right="299"/>
        <w:spacing w:after="0" w:line="267" w:lineRule="auto"/>
        <w:rPr>
          <w:sz w:val="20"/>
          <w:szCs w:val="20"/>
          <w:color w:val="auto"/>
        </w:rPr>
      </w:pPr>
      <w:r>
        <w:rPr>
          <w:rFonts w:ascii="Times New Roman" w:cs="Times New Roman" w:eastAsia="Times New Roman" w:hAnsi="Times New Roman"/>
          <w:sz w:val="14"/>
          <w:szCs w:val="14"/>
          <w:color w:val="auto"/>
        </w:rPr>
        <w:t>Some of the debt securities may be issued as original issue discount debt securities. Original issue discount debt securities bear no interest or bear interest at below-market rates. These are sold at a discount below their stated principal amount. If we issue these securities, the prospectus supplement will describe any special tax, accounting or other information which we think is important. We encourage you to consult with your own competent tax and financial advisors on these important matters.</w:t>
      </w:r>
    </w:p>
    <w:p>
      <w:pPr>
        <w:spacing w:after="0" w:line="140" w:lineRule="exact"/>
        <w:rPr>
          <w:sz w:val="20"/>
          <w:szCs w:val="20"/>
          <w:color w:val="auto"/>
        </w:rPr>
      </w:pPr>
    </w:p>
    <w:p>
      <w:pPr>
        <w:ind w:left="1280" w:right="419"/>
        <w:spacing w:after="0" w:line="291" w:lineRule="auto"/>
        <w:rPr>
          <w:sz w:val="20"/>
          <w:szCs w:val="20"/>
          <w:color w:val="auto"/>
        </w:rPr>
      </w:pPr>
      <w:r>
        <w:rPr>
          <w:rFonts w:ascii="Times New Roman" w:cs="Times New Roman" w:eastAsia="Times New Roman" w:hAnsi="Times New Roman"/>
          <w:sz w:val="14"/>
          <w:szCs w:val="14"/>
          <w:color w:val="auto"/>
        </w:rPr>
        <w:t>Unless we specify otherwise in the applicable prospectus supplement, the covenants contained in the indenture will not provide special protection to Holders of debt securities if we enter into a highly leveraged transaction, recapitalization or restructuring.</w:t>
      </w:r>
    </w:p>
    <w:p>
      <w:pPr>
        <w:spacing w:after="0" w:line="124" w:lineRule="exact"/>
        <w:rPr>
          <w:sz w:val="20"/>
          <w:szCs w:val="20"/>
          <w:color w:val="auto"/>
        </w:rPr>
      </w:pPr>
    </w:p>
    <w:p>
      <w:pPr>
        <w:ind w:left="1280" w:right="159"/>
        <w:spacing w:after="0" w:line="262" w:lineRule="auto"/>
        <w:rPr>
          <w:sz w:val="20"/>
          <w:szCs w:val="20"/>
          <w:color w:val="auto"/>
        </w:rPr>
      </w:pPr>
      <w:r>
        <w:rPr>
          <w:rFonts w:ascii="Times New Roman" w:cs="Times New Roman" w:eastAsia="Times New Roman" w:hAnsi="Times New Roman"/>
          <w:sz w:val="14"/>
          <w:szCs w:val="14"/>
          <w:color w:val="auto"/>
        </w:rPr>
        <w:t>Unless otherwise set forth in the prospectus supplement, interest on outstanding debt securities will be paid to Holders of record on the date that is 15 days prior to the date such interest is to be paid, or, if not a business day, the next preceding business day. Unless otherwise specified in the prospectus supplement, debt securities will be issued in fully registered form only. Unless otherwise specified in the prospectus supplement, the principal amount of the debt securities will be payable at the corporate trust office of the Trustee in New York, New York. The debt securities may be presented for transfer or exchange at such office unless otherwise specified in the prospectus supplement, subject to the limitations provided in the indenture, without any service charge, but we may require payment of a sum sufficient to cover any tax or other governmental charges payable in connection therewith.</w:t>
      </w:r>
    </w:p>
    <w:p>
      <w:pPr>
        <w:spacing w:after="0" w:line="2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Ranking</w:t>
      </w:r>
    </w:p>
    <w:p>
      <w:pPr>
        <w:spacing w:after="0" w:line="98" w:lineRule="exact"/>
        <w:rPr>
          <w:sz w:val="20"/>
          <w:szCs w:val="20"/>
          <w:color w:val="auto"/>
        </w:rPr>
      </w:pPr>
    </w:p>
    <w:p>
      <w:pPr>
        <w:ind w:left="1280" w:right="299"/>
        <w:spacing w:after="0" w:line="273" w:lineRule="auto"/>
        <w:rPr>
          <w:sz w:val="20"/>
          <w:szCs w:val="20"/>
          <w:color w:val="auto"/>
        </w:rPr>
      </w:pPr>
      <w:r>
        <w:rPr>
          <w:rFonts w:ascii="Times New Roman" w:cs="Times New Roman" w:eastAsia="Times New Roman" w:hAnsi="Times New Roman"/>
          <w:sz w:val="14"/>
          <w:szCs w:val="14"/>
          <w:color w:val="auto"/>
        </w:rPr>
        <w:t>The debt securities will be our unsecured, senior obligations, and will rank equally with our other unsecured and unsubordinated obligations. The debt securities will effectively rank junior in right of payment to any of our existing and future secured obligations to the extent of the value of the assets securing such obligations. The debt</w:t>
      </w:r>
    </w:p>
    <w:p>
      <w:pPr>
        <w:spacing w:after="0" w:line="8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91"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ind w:left="1280" w:right="599"/>
        <w:spacing w:after="0" w:line="291" w:lineRule="auto"/>
        <w:rPr>
          <w:sz w:val="20"/>
          <w:szCs w:val="20"/>
          <w:color w:val="auto"/>
        </w:rPr>
      </w:pPr>
      <w:r>
        <w:rPr>
          <w:rFonts w:ascii="Times New Roman" w:cs="Times New Roman" w:eastAsia="Times New Roman" w:hAnsi="Times New Roman"/>
          <w:sz w:val="14"/>
          <w:szCs w:val="14"/>
          <w:color w:val="auto"/>
        </w:rPr>
        <w:t>securities will be effectively subordinated to all existing and future liabilities, including indebtedness and trade payables, of our subsidiaries. The indenture does not limit the amount of unsecured indebtedness or other liabilities that can be incurred by our subsidiaries.</w:t>
      </w:r>
    </w:p>
    <w:p>
      <w:pPr>
        <w:spacing w:after="0" w:line="2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Certain Covenants</w:t>
      </w:r>
    </w:p>
    <w:p>
      <w:pPr>
        <w:spacing w:after="0" w:line="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color w:val="auto"/>
        </w:rPr>
        <w:t>Limitation on Consolidation, Merger, Conveyance or Transfer on Certain Terms</w:t>
      </w:r>
    </w:p>
    <w:p>
      <w:pPr>
        <w:spacing w:after="0" w:line="98" w:lineRule="exact"/>
        <w:rPr>
          <w:sz w:val="20"/>
          <w:szCs w:val="20"/>
          <w:color w:val="auto"/>
        </w:rPr>
      </w:pPr>
    </w:p>
    <w:p>
      <w:pPr>
        <w:ind w:left="1280" w:right="279"/>
        <w:spacing w:after="0" w:line="291" w:lineRule="auto"/>
        <w:rPr>
          <w:sz w:val="20"/>
          <w:szCs w:val="20"/>
          <w:color w:val="auto"/>
        </w:rPr>
      </w:pPr>
      <w:r>
        <w:rPr>
          <w:rFonts w:ascii="Times New Roman" w:cs="Times New Roman" w:eastAsia="Times New Roman" w:hAnsi="Times New Roman"/>
          <w:sz w:val="14"/>
          <w:szCs w:val="14"/>
          <w:color w:val="auto"/>
        </w:rPr>
        <w:t>The indenture provides that we will not consolidate with or merge into any other Person or convey or transfer our properties and assets substantially as an entirety to any Person, unless:</w:t>
      </w:r>
    </w:p>
    <w:p>
      <w:pPr>
        <w:spacing w:after="0" w:line="49" w:lineRule="exact"/>
        <w:rPr>
          <w:sz w:val="20"/>
          <w:szCs w:val="20"/>
          <w:color w:val="auto"/>
        </w:rPr>
      </w:pPr>
    </w:p>
    <w:p>
      <w:pPr>
        <w:ind w:left="2040" w:right="159" w:hanging="423"/>
        <w:spacing w:after="0" w:line="262" w:lineRule="auto"/>
        <w:tabs>
          <w:tab w:leader="none" w:pos="20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 formed by such consolidation or into which our company is merged or the Person which acquires by conveyance or transfer the properties and assets of our company substantially as an entirety shall be organized and existing under the laws of the United States of America or any state of the United States or the District of Columbia, and shall expressly assume, by supplemental indenture, executed and delivered to the Trustee, in form reasonably satisfactory to the Trustee, the due and punctual payment of the principal of (and premium, if any) and interest on all the debt securities and the performance of every covenant of the indenture (as supplemented from time to time) on the part of our company to be performed or observed;</w:t>
      </w:r>
    </w:p>
    <w:p>
      <w:pPr>
        <w:spacing w:after="0" w:line="69" w:lineRule="exact"/>
        <w:rPr>
          <w:rFonts w:ascii="Times New Roman" w:cs="Times New Roman" w:eastAsia="Times New Roman" w:hAnsi="Times New Roman"/>
          <w:sz w:val="14"/>
          <w:szCs w:val="14"/>
          <w:color w:val="auto"/>
        </w:rPr>
      </w:pPr>
    </w:p>
    <w:p>
      <w:pPr>
        <w:ind w:left="2040" w:right="299" w:hanging="423"/>
        <w:spacing w:after="0" w:line="291" w:lineRule="auto"/>
        <w:tabs>
          <w:tab w:leader="none" w:pos="20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such transaction, no Event of Default, and no event which, after notice or lapse of time, or both, would become an Event of Default, shall have happened and be continuing; and</w:t>
      </w:r>
    </w:p>
    <w:p>
      <w:pPr>
        <w:spacing w:after="0" w:line="48" w:lineRule="exact"/>
        <w:rPr>
          <w:rFonts w:ascii="Times New Roman" w:cs="Times New Roman" w:eastAsia="Times New Roman" w:hAnsi="Times New Roman"/>
          <w:sz w:val="14"/>
          <w:szCs w:val="14"/>
          <w:color w:val="auto"/>
        </w:rPr>
      </w:pPr>
    </w:p>
    <w:p>
      <w:pPr>
        <w:ind w:left="2040" w:right="179" w:hanging="423"/>
        <w:spacing w:after="0" w:line="273" w:lineRule="auto"/>
        <w:tabs>
          <w:tab w:leader="none" w:pos="20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an officers’ certificate and an opinion of counsel each stating that such consolidation, merger, conveyance or transfer and such supplemental indenture comply with this covenant and that all conditions precedent provided for relating to such transaction have been complied with.</w:t>
      </w:r>
    </w:p>
    <w:p>
      <w:pPr>
        <w:spacing w:after="0" w:line="136" w:lineRule="exact"/>
        <w:rPr>
          <w:sz w:val="20"/>
          <w:szCs w:val="20"/>
          <w:color w:val="auto"/>
        </w:rPr>
      </w:pPr>
    </w:p>
    <w:p>
      <w:pPr>
        <w:ind w:left="1280" w:right="199"/>
        <w:spacing w:after="0" w:line="262" w:lineRule="auto"/>
        <w:rPr>
          <w:sz w:val="20"/>
          <w:szCs w:val="20"/>
          <w:color w:val="auto"/>
        </w:rPr>
      </w:pPr>
      <w:r>
        <w:rPr>
          <w:rFonts w:ascii="Times New Roman" w:cs="Times New Roman" w:eastAsia="Times New Roman" w:hAnsi="Times New Roman"/>
          <w:sz w:val="14"/>
          <w:szCs w:val="14"/>
          <w:color w:val="auto"/>
        </w:rPr>
        <w:t>Upon any consolidation or merger, or any conveyance or transfer of the properties and assets of our company substantially as an entirety as set forth above, the successor Person formed by such consolidation or into which our company is merged or to which such conveyance or transfer is made shall succeed to, and be substituted for, and may exercise every right and power of our company under the indenture with the same effect as if such successor had been named as our company in the indenture. In the event of any such conveyance or transfer, our company, as the predecessor, shall be discharged from all obligations and covenants under the indenture and the debt securities issued under the indenture and may be dissolved, wound up or liquidated at any time thereafter.</w:t>
      </w:r>
    </w:p>
    <w:p>
      <w:pPr>
        <w:spacing w:after="0" w:line="145" w:lineRule="exact"/>
        <w:rPr>
          <w:sz w:val="20"/>
          <w:szCs w:val="20"/>
          <w:color w:val="auto"/>
        </w:rPr>
      </w:pPr>
    </w:p>
    <w:p>
      <w:pPr>
        <w:ind w:left="1280" w:right="579"/>
        <w:spacing w:after="0" w:line="291" w:lineRule="auto"/>
        <w:rPr>
          <w:sz w:val="20"/>
          <w:szCs w:val="20"/>
          <w:color w:val="auto"/>
        </w:rPr>
      </w:pPr>
      <w:r>
        <w:rPr>
          <w:rFonts w:ascii="Times New Roman" w:cs="Times New Roman" w:eastAsia="Times New Roman" w:hAnsi="Times New Roman"/>
          <w:sz w:val="14"/>
          <w:szCs w:val="14"/>
          <w:color w:val="auto"/>
        </w:rPr>
        <w:t>Subject to the foregoing, the indenture and the debt securities do not contain any covenants or other provisions designed to afford Holders of debt securities protection in the event of a recapitalization or highly leveraged transaction involving our company.</w:t>
      </w:r>
    </w:p>
    <w:p>
      <w:pPr>
        <w:spacing w:after="0" w:line="124" w:lineRule="exact"/>
        <w:rPr>
          <w:sz w:val="20"/>
          <w:szCs w:val="20"/>
          <w:color w:val="auto"/>
        </w:rPr>
      </w:pPr>
    </w:p>
    <w:p>
      <w:pPr>
        <w:ind w:left="1280" w:right="299"/>
        <w:spacing w:after="0" w:line="291" w:lineRule="auto"/>
        <w:rPr>
          <w:sz w:val="20"/>
          <w:szCs w:val="20"/>
          <w:color w:val="auto"/>
        </w:rPr>
      </w:pPr>
      <w:r>
        <w:rPr>
          <w:rFonts w:ascii="Times New Roman" w:cs="Times New Roman" w:eastAsia="Times New Roman" w:hAnsi="Times New Roman"/>
          <w:sz w:val="14"/>
          <w:szCs w:val="14"/>
          <w:color w:val="auto"/>
        </w:rPr>
        <w:t>Any additional covenants of our company pertaining to a series of debt securities will be set forth in a prospectus supplement relating to such series of debt securities.</w:t>
      </w:r>
    </w:p>
    <w:p>
      <w:pPr>
        <w:spacing w:after="0" w:line="2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Certain Definitions</w:t>
      </w:r>
    </w:p>
    <w:p>
      <w:pPr>
        <w:spacing w:after="0" w:line="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The following are certain of the terms defined in the indenture:</w:t>
      </w:r>
    </w:p>
    <w:p>
      <w:pPr>
        <w:spacing w:after="0" w:line="94" w:lineRule="exact"/>
        <w:rPr>
          <w:sz w:val="20"/>
          <w:szCs w:val="20"/>
          <w:color w:val="auto"/>
        </w:rPr>
      </w:pPr>
    </w:p>
    <w:p>
      <w:pPr>
        <w:ind w:left="1280" w:right="299"/>
        <w:spacing w:after="0" w:line="2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Consolidated Net Worth</w:t>
      </w:r>
      <w:r>
        <w:rPr>
          <w:rFonts w:ascii="Times New Roman" w:cs="Times New Roman" w:eastAsia="Times New Roman" w:hAnsi="Times New Roman"/>
          <w:sz w:val="14"/>
          <w:szCs w:val="14"/>
          <w:color w:val="auto"/>
        </w:rPr>
        <w:t>” means, with respect to any Person, at the date of any determination, the consolidated stockholders’ or owners’ equity of the holders of capital stock or partnership interests of such Person and its subsidiaries, determined on a consolidated basis in accordance with GAAP consistently applied.</w:t>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GAAP</w:t>
      </w:r>
      <w:r>
        <w:rPr>
          <w:rFonts w:ascii="Times New Roman" w:cs="Times New Roman" w:eastAsia="Times New Roman" w:hAnsi="Times New Roman"/>
          <w:sz w:val="14"/>
          <w:szCs w:val="14"/>
          <w:color w:val="auto"/>
        </w:rPr>
        <w:t>” means generally accepted accounting principles as such principles are in effect in the United States as of the date of the indenture.</w:t>
      </w:r>
    </w:p>
    <w:p>
      <w:pPr>
        <w:spacing w:after="0" w:line="1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91"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ind w:left="1280" w:right="199"/>
        <w:spacing w:after="0" w:line="2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Material Subsidiary</w:t>
      </w:r>
      <w:r>
        <w:rPr>
          <w:rFonts w:ascii="Times New Roman" w:cs="Times New Roman" w:eastAsia="Times New Roman" w:hAnsi="Times New Roman"/>
          <w:sz w:val="14"/>
          <w:szCs w:val="14"/>
          <w:color w:val="auto"/>
        </w:rPr>
        <w:t>” means any Person that is a Subsidiary if, at the end of the most recent fiscal quarter of our company, the aggregate amount, determined in accordance with GAAP consistently applied, of securities of, loans and advances to, and other investments in, such Person held by us and our other Subsidiaries exceeded 10% of our Consolidated Net Worth.</w:t>
      </w:r>
    </w:p>
    <w:p>
      <w:pPr>
        <w:spacing w:after="0" w:line="134" w:lineRule="exact"/>
        <w:rPr>
          <w:sz w:val="20"/>
          <w:szCs w:val="20"/>
          <w:color w:val="auto"/>
        </w:rPr>
      </w:pPr>
    </w:p>
    <w:p>
      <w:pPr>
        <w:ind w:left="1280" w:right="159"/>
        <w:spacing w:after="0" w:line="29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Person</w:t>
      </w:r>
      <w:r>
        <w:rPr>
          <w:rFonts w:ascii="Times New Roman" w:cs="Times New Roman" w:eastAsia="Times New Roman" w:hAnsi="Times New Roman"/>
          <w:sz w:val="14"/>
          <w:szCs w:val="14"/>
          <w:color w:val="auto"/>
        </w:rPr>
        <w:t>” means any individual, corporation, limited liability company, partnership, joint venture, association, joint-stock company, trust, unincorporated organization or government or any agency or political subdivision thereof.</w:t>
      </w:r>
    </w:p>
    <w:p>
      <w:pPr>
        <w:spacing w:after="0" w:line="120" w:lineRule="exact"/>
        <w:rPr>
          <w:sz w:val="20"/>
          <w:szCs w:val="20"/>
          <w:color w:val="auto"/>
        </w:rPr>
      </w:pPr>
    </w:p>
    <w:p>
      <w:pPr>
        <w:ind w:left="1280" w:right="199"/>
        <w:spacing w:after="0" w:line="2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Subsidiary</w:t>
      </w:r>
      <w:r>
        <w:rPr>
          <w:rFonts w:ascii="Times New Roman" w:cs="Times New Roman" w:eastAsia="Times New Roman" w:hAnsi="Times New Roman"/>
          <w:sz w:val="14"/>
          <w:szCs w:val="14"/>
          <w:color w:val="auto"/>
        </w:rPr>
        <w:t>” means, with respect to any Person, any corporation more than 50% of the voting stock of which is owned directly or indirectly by such Person, and any partnership, association, joint venture or other entity in which such Person owns more than 50% of the equity interests or has the power to elect a majority of the board of directors or other governing body.</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Optional Redemption</w:t>
      </w:r>
    </w:p>
    <w:p>
      <w:pPr>
        <w:spacing w:after="0" w:line="98" w:lineRule="exact"/>
        <w:rPr>
          <w:sz w:val="20"/>
          <w:szCs w:val="20"/>
          <w:color w:val="auto"/>
        </w:rPr>
      </w:pPr>
    </w:p>
    <w:p>
      <w:pPr>
        <w:ind w:left="1280" w:right="239"/>
        <w:spacing w:after="0" w:line="273" w:lineRule="auto"/>
        <w:rPr>
          <w:sz w:val="20"/>
          <w:szCs w:val="20"/>
          <w:color w:val="auto"/>
        </w:rPr>
      </w:pPr>
      <w:r>
        <w:rPr>
          <w:rFonts w:ascii="Times New Roman" w:cs="Times New Roman" w:eastAsia="Times New Roman" w:hAnsi="Times New Roman"/>
          <w:sz w:val="14"/>
          <w:szCs w:val="14"/>
          <w:color w:val="auto"/>
        </w:rPr>
        <w:t>If specified in the applicable prospectus supplement, we may redeem the debt securities of any series, as a whole or in part, at our option on or after the dates and in accordance with the terms established for such series, if any, in the applicable prospectus supplement. If we redeem the debt securities of any series, we must also pay accrued and unpaid interest, if any, up to the date of redemption on such debt securities.</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98" w:lineRule="exact"/>
        <w:rPr>
          <w:sz w:val="20"/>
          <w:szCs w:val="20"/>
          <w:color w:val="auto"/>
        </w:rPr>
      </w:pPr>
    </w:p>
    <w:p>
      <w:pPr>
        <w:ind w:left="1280" w:right="659"/>
        <w:spacing w:after="0" w:line="291" w:lineRule="auto"/>
        <w:rPr>
          <w:sz w:val="20"/>
          <w:szCs w:val="20"/>
          <w:color w:val="auto"/>
        </w:rPr>
      </w:pPr>
      <w:r>
        <w:rPr>
          <w:rFonts w:ascii="Times New Roman" w:cs="Times New Roman" w:eastAsia="Times New Roman" w:hAnsi="Times New Roman"/>
          <w:sz w:val="14"/>
          <w:szCs w:val="14"/>
          <w:color w:val="auto"/>
        </w:rPr>
        <w:t>The indenture will be discharged and will cease to be of further effect (except as to surviving rights or registration of transfer or exchange of the applicable series of the debt securities, as expressly provided for in the indenture) as to all outstanding debt securities of a series, when:</w:t>
      </w:r>
    </w:p>
    <w:p>
      <w:pPr>
        <w:spacing w:after="0" w:line="49" w:lineRule="exact"/>
        <w:rPr>
          <w:sz w:val="20"/>
          <w:szCs w:val="20"/>
          <w:color w:val="auto"/>
        </w:rPr>
      </w:pPr>
    </w:p>
    <w:p>
      <w:pPr>
        <w:ind w:left="2040" w:hanging="423"/>
        <w:spacing w:after="0"/>
        <w:tabs>
          <w:tab w:leader="none" w:pos="2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106" w:lineRule="exact"/>
        <w:rPr>
          <w:rFonts w:ascii="Times New Roman" w:cs="Times New Roman" w:eastAsia="Times New Roman" w:hAnsi="Times New Roman"/>
          <w:sz w:val="14"/>
          <w:szCs w:val="14"/>
          <w:color w:val="auto"/>
        </w:rPr>
      </w:pPr>
    </w:p>
    <w:p>
      <w:pPr>
        <w:ind w:left="2400" w:right="199" w:hanging="344"/>
        <w:spacing w:after="0" w:line="273" w:lineRule="auto"/>
        <w:tabs>
          <w:tab w:leader="none" w:pos="240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applicable series of the debt securities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61" w:lineRule="exact"/>
        <w:rPr>
          <w:rFonts w:ascii="Times New Roman" w:cs="Times New Roman" w:eastAsia="Times New Roman" w:hAnsi="Times New Roman"/>
          <w:sz w:val="14"/>
          <w:szCs w:val="14"/>
          <w:color w:val="auto"/>
        </w:rPr>
      </w:pPr>
    </w:p>
    <w:p>
      <w:pPr>
        <w:ind w:left="2400" w:right="179" w:hanging="344"/>
        <w:spacing w:after="0" w:line="261" w:lineRule="auto"/>
        <w:tabs>
          <w:tab w:leader="none" w:pos="240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applicable series of debt securities not theretofore delivered to the Trustee for cancellation (1) have become due and payable or (2) will become due and payable within one year, or are to be called for redemption within one year, under arrangements satisfactory to the Trustee for the giving of notice of redemption by the Trustee in the name, and at the expense, of us, and we have irrevocably deposited or caused to be deposited with the Trustee funds in an amount in the required currency sufficient to pay and discharge the entire Indebtedness on the applicable series of debt securities not theretofore delivered to the Trustee for cancellation for principal of, premium, if any, and interest on the applicable series of debt securities to the date of deposit or to the stated maturity or redemption date, as the case may be;</w:t>
      </w:r>
    </w:p>
    <w:p>
      <w:pPr>
        <w:spacing w:after="0" w:line="70" w:lineRule="exact"/>
        <w:rPr>
          <w:rFonts w:ascii="Times New Roman" w:cs="Times New Roman" w:eastAsia="Times New Roman" w:hAnsi="Times New Roman"/>
          <w:sz w:val="14"/>
          <w:szCs w:val="14"/>
          <w:color w:val="auto"/>
        </w:rPr>
      </w:pPr>
    </w:p>
    <w:p>
      <w:pPr>
        <w:ind w:left="2040" w:hanging="423"/>
        <w:spacing w:after="0"/>
        <w:tabs>
          <w:tab w:leader="none" w:pos="2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paid all other sums payable under the indenture by us with regard to the debt securities of such series; and</w:t>
      </w:r>
    </w:p>
    <w:p>
      <w:pPr>
        <w:spacing w:after="0" w:line="106" w:lineRule="exact"/>
        <w:rPr>
          <w:rFonts w:ascii="Times New Roman" w:cs="Times New Roman" w:eastAsia="Times New Roman" w:hAnsi="Times New Roman"/>
          <w:sz w:val="14"/>
          <w:szCs w:val="14"/>
          <w:color w:val="auto"/>
        </w:rPr>
      </w:pPr>
    </w:p>
    <w:p>
      <w:pPr>
        <w:ind w:left="2040" w:right="359" w:hanging="423"/>
        <w:spacing w:after="0" w:line="273" w:lineRule="auto"/>
        <w:tabs>
          <w:tab w:leader="none" w:pos="2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an Officer’s Certificate and an Opinion of Counsel stating that all conditions precedent under the indenture relating to the satisfaction and discharge of the indenture with respect to the debt securities of such series have been complied with.</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Defeasance</w:t>
      </w:r>
    </w:p>
    <w:p>
      <w:pPr>
        <w:spacing w:after="0" w:line="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The indenture provides that we, at our option:</w:t>
      </w:r>
    </w:p>
    <w:p>
      <w:pPr>
        <w:spacing w:after="0" w:line="107" w:lineRule="exact"/>
        <w:rPr>
          <w:sz w:val="20"/>
          <w:szCs w:val="20"/>
          <w:color w:val="auto"/>
        </w:rPr>
      </w:pPr>
    </w:p>
    <w:p>
      <w:pPr>
        <w:jc w:val="both"/>
        <w:ind w:left="2040" w:right="439" w:hanging="423"/>
        <w:spacing w:after="0" w:line="273" w:lineRule="auto"/>
        <w:tabs>
          <w:tab w:leader="none" w:pos="2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discharged from any and all obligations in respect of any series of debt securities (except in each case for certain obligations to register the transfer or exchange of debt securities, replace stolen, lost or mutilated debt securities, maintain paying agencies and hold moneys for payment in trust), or</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91"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ind w:left="2040" w:right="139" w:hanging="423"/>
        <w:spacing w:after="0" w:line="260" w:lineRule="auto"/>
        <w:tabs>
          <w:tab w:leader="none" w:pos="20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need not comply with the covenants described above under “—Certain Covenants,” and any other restrictive covenants described in a prospectus supplement relating to such series of debt securities and certain Events of Default (other than those arising out of the failure to pay interest or principal on the debt securities of a particular series and certain events of bankruptcy, insolvency and reorganization) will no longer constitute Events of Default with respect to such series of debt securities, in each case if we deposit with the Trustee, in trust, money or the equivalent in securities of the government which issued the currency in which the debt securities are denominated or government agencies backed by the full faith and credit of such government, or a combination thereof, which through the payment of interest thereon and principal thereof in accordance with their terms will provide money in an amount sufficient to pay all the principal (including any mandatory sinking fund payments) of, and interest on, such series on the dates such payments are due in accordance with the terms of such series.</w:t>
      </w:r>
    </w:p>
    <w:p>
      <w:pPr>
        <w:spacing w:after="0" w:line="318" w:lineRule="exact"/>
        <w:rPr>
          <w:sz w:val="20"/>
          <w:szCs w:val="20"/>
          <w:color w:val="auto"/>
        </w:rPr>
      </w:pPr>
    </w:p>
    <w:p>
      <w:pPr>
        <w:jc w:val="both"/>
        <w:ind w:left="1280" w:right="179"/>
        <w:spacing w:after="0" w:line="273" w:lineRule="auto"/>
        <w:rPr>
          <w:sz w:val="20"/>
          <w:szCs w:val="20"/>
          <w:color w:val="auto"/>
        </w:rPr>
      </w:pPr>
      <w:r>
        <w:rPr>
          <w:rFonts w:ascii="Times New Roman" w:cs="Times New Roman" w:eastAsia="Times New Roman" w:hAnsi="Times New Roman"/>
          <w:sz w:val="14"/>
          <w:szCs w:val="14"/>
          <w:color w:val="auto"/>
        </w:rPr>
        <w:t>To exercise any such option, we are required, among other things, to deliver to the Trustee an opinion of counsel to the effect that the deposit and related defeasance would not cause the Holders of such series to recognize income, gain or loss for federal income tax purposes and, in the case of a Discharge pursuant to clause (a) above, accompanied by a ruling to such effect received from or published by the United States Internal Revenue Service.</w:t>
      </w:r>
    </w:p>
    <w:p>
      <w:pPr>
        <w:spacing w:after="0" w:line="136" w:lineRule="exact"/>
        <w:rPr>
          <w:sz w:val="20"/>
          <w:szCs w:val="20"/>
          <w:color w:val="auto"/>
        </w:rPr>
      </w:pPr>
    </w:p>
    <w:p>
      <w:pPr>
        <w:ind w:left="1280" w:right="139"/>
        <w:spacing w:after="0" w:line="291" w:lineRule="auto"/>
        <w:rPr>
          <w:sz w:val="20"/>
          <w:szCs w:val="20"/>
          <w:color w:val="auto"/>
        </w:rPr>
      </w:pPr>
      <w:r>
        <w:rPr>
          <w:rFonts w:ascii="Times New Roman" w:cs="Times New Roman" w:eastAsia="Times New Roman" w:hAnsi="Times New Roman"/>
          <w:sz w:val="14"/>
          <w:szCs w:val="14"/>
          <w:color w:val="auto"/>
        </w:rPr>
        <w:t>In addition, we are required to deliver to the Trustee an Officers’ Certificate stating that such deposit was not made by us with the intent of preferring the Holders over other creditors of ours or with the intent of defeating, hindering, delaying or defrauding creditors of ours or others.</w:t>
      </w:r>
    </w:p>
    <w:p>
      <w:pPr>
        <w:spacing w:after="0" w:line="2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Events of Default, Notice and Waiver</w:t>
      </w:r>
    </w:p>
    <w:p>
      <w:pPr>
        <w:spacing w:after="0" w:line="98" w:lineRule="exact"/>
        <w:rPr>
          <w:sz w:val="20"/>
          <w:szCs w:val="20"/>
          <w:color w:val="auto"/>
        </w:rPr>
      </w:pPr>
    </w:p>
    <w:p>
      <w:pPr>
        <w:ind w:left="1280" w:right="159"/>
        <w:spacing w:after="0" w:line="267" w:lineRule="auto"/>
        <w:rPr>
          <w:sz w:val="20"/>
          <w:szCs w:val="20"/>
          <w:color w:val="auto"/>
        </w:rPr>
      </w:pPr>
      <w:r>
        <w:rPr>
          <w:rFonts w:ascii="Times New Roman" w:cs="Times New Roman" w:eastAsia="Times New Roman" w:hAnsi="Times New Roman"/>
          <w:sz w:val="14"/>
          <w:szCs w:val="14"/>
          <w:color w:val="auto"/>
        </w:rPr>
        <w:t>The indenture provides that, if an Event of Default specified therein with respect to any series of debt securities issued thereunder shall have happened and be continuing, either the Trustee thereunder or the Holders of 25% in aggregate principal amount of the outstanding debt securities of such series (or 25% in aggregate principal amount of all outstanding debt securities under the indenture, in the case of certain Events of Default affecting all series of debt securities issued under the indenture) may declare the principal of all the debt securities of such series to be due and payable.</w:t>
      </w:r>
    </w:p>
    <w:p>
      <w:pPr>
        <w:spacing w:after="0" w:line="13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Events of Default</w:t>
      </w:r>
      <w:r>
        <w:rPr>
          <w:rFonts w:ascii="Times New Roman" w:cs="Times New Roman" w:eastAsia="Times New Roman" w:hAnsi="Times New Roman"/>
          <w:sz w:val="14"/>
          <w:szCs w:val="14"/>
          <w:color w:val="auto"/>
        </w:rPr>
        <w:t>” in respect of any series are defined in the indenture as being:</w:t>
      </w:r>
    </w:p>
    <w:p>
      <w:pPr>
        <w:spacing w:after="0" w:line="109" w:lineRule="exact"/>
        <w:rPr>
          <w:sz w:val="20"/>
          <w:szCs w:val="20"/>
          <w:color w:val="auto"/>
        </w:rPr>
      </w:pPr>
    </w:p>
    <w:p>
      <w:pPr>
        <w:ind w:left="2040" w:hanging="337"/>
        <w:spacing w:after="0"/>
        <w:tabs>
          <w:tab w:leader="none" w:pos="20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for 30 days in payment of any interest installment with respect to such series;</w:t>
      </w:r>
    </w:p>
    <w:p>
      <w:pPr>
        <w:spacing w:after="0" w:line="106" w:lineRule="exact"/>
        <w:rPr>
          <w:rFonts w:ascii="Times New Roman" w:cs="Times New Roman" w:eastAsia="Times New Roman" w:hAnsi="Times New Roman"/>
          <w:sz w:val="14"/>
          <w:szCs w:val="14"/>
          <w:color w:val="auto"/>
        </w:rPr>
      </w:pPr>
    </w:p>
    <w:p>
      <w:pPr>
        <w:ind w:left="2040" w:right="379" w:hanging="337"/>
        <w:spacing w:after="0" w:line="291" w:lineRule="auto"/>
        <w:tabs>
          <w:tab w:leader="none" w:pos="20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payment of principal of, or premium, if any, on, or any sinking or purchase fund or analogous obligation with respect to, debt securities of such series when due at their stated maturity, by declaration or acceleration, when called for redemption or otherwise;</w:t>
      </w:r>
    </w:p>
    <w:p>
      <w:pPr>
        <w:spacing w:after="0" w:line="48" w:lineRule="exact"/>
        <w:rPr>
          <w:rFonts w:ascii="Times New Roman" w:cs="Times New Roman" w:eastAsia="Times New Roman" w:hAnsi="Times New Roman"/>
          <w:sz w:val="14"/>
          <w:szCs w:val="14"/>
          <w:color w:val="auto"/>
        </w:rPr>
      </w:pPr>
    </w:p>
    <w:p>
      <w:pPr>
        <w:ind w:left="2040" w:right="319" w:hanging="337"/>
        <w:spacing w:after="0" w:line="273" w:lineRule="auto"/>
        <w:tabs>
          <w:tab w:leader="none" w:pos="20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for 90 days after written notice to us by the Trustee thereunder or by Holders of 25% in aggregate principal amount of the outstanding debt securities of such series in the performance, or breach, of any covenant or warranty pertaining to debt securities of such series; and</w:t>
      </w:r>
    </w:p>
    <w:p>
      <w:pPr>
        <w:spacing w:after="0" w:line="61" w:lineRule="exact"/>
        <w:rPr>
          <w:rFonts w:ascii="Times New Roman" w:cs="Times New Roman" w:eastAsia="Times New Roman" w:hAnsi="Times New Roman"/>
          <w:sz w:val="14"/>
          <w:szCs w:val="14"/>
          <w:color w:val="auto"/>
        </w:rPr>
      </w:pPr>
    </w:p>
    <w:p>
      <w:pPr>
        <w:ind w:left="2040" w:right="199" w:hanging="337"/>
        <w:spacing w:after="0" w:line="284" w:lineRule="auto"/>
        <w:tabs>
          <w:tab w:leader="none" w:pos="20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and reorganization with respect to us or any Material Subsidiary of ours which is organized under the laws of the United States or any political subdivision thereof or the entry of an order ordering the winding up or liquidation of our affairs.</w:t>
      </w:r>
    </w:p>
    <w:p>
      <w:pPr>
        <w:spacing w:after="0" w:line="304" w:lineRule="exact"/>
        <w:rPr>
          <w:sz w:val="20"/>
          <w:szCs w:val="20"/>
          <w:color w:val="auto"/>
        </w:rPr>
      </w:pPr>
    </w:p>
    <w:p>
      <w:pPr>
        <w:ind w:left="1280" w:right="699"/>
        <w:spacing w:after="0" w:line="291" w:lineRule="auto"/>
        <w:rPr>
          <w:sz w:val="20"/>
          <w:szCs w:val="20"/>
          <w:color w:val="auto"/>
        </w:rPr>
      </w:pPr>
      <w:r>
        <w:rPr>
          <w:rFonts w:ascii="Times New Roman" w:cs="Times New Roman" w:eastAsia="Times New Roman" w:hAnsi="Times New Roman"/>
          <w:sz w:val="14"/>
          <w:szCs w:val="14"/>
          <w:color w:val="auto"/>
        </w:rPr>
        <w:t>Any additions, deletions or other changes to the Events of Default which will be applicable to a series of debt securities will be described in the prospectus supplement relating to such series of debt securities.</w:t>
      </w:r>
    </w:p>
    <w:p>
      <w:pPr>
        <w:spacing w:after="0" w:line="124" w:lineRule="exact"/>
        <w:rPr>
          <w:sz w:val="20"/>
          <w:szCs w:val="20"/>
          <w:color w:val="auto"/>
        </w:rPr>
      </w:pPr>
    </w:p>
    <w:p>
      <w:pPr>
        <w:ind w:left="1280" w:right="159"/>
        <w:spacing w:after="0" w:line="267" w:lineRule="auto"/>
        <w:rPr>
          <w:sz w:val="20"/>
          <w:szCs w:val="20"/>
          <w:color w:val="auto"/>
        </w:rPr>
      </w:pPr>
      <w:r>
        <w:rPr>
          <w:rFonts w:ascii="Times New Roman" w:cs="Times New Roman" w:eastAsia="Times New Roman" w:hAnsi="Times New Roman"/>
          <w:sz w:val="14"/>
          <w:szCs w:val="14"/>
          <w:color w:val="auto"/>
        </w:rPr>
        <w:t>The indenture provides that the Trustee thereunder will, within 90 days after the occurrence of a default with respect to the debt securities of any series issued under the indenture, give to the Holders of the debt securities of such series notice of all uncured and unwaived defaults known to it; provided, however, that, except in the case of default in the payment of principal of, premium, if any, or interest, if any, on any of the debt securities of such series, the Trustee thereunder will be protected in withholding such notice if it in good faith determines that the</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91"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ind w:left="1280" w:right="219"/>
        <w:spacing w:after="0" w:line="264" w:lineRule="auto"/>
        <w:rPr>
          <w:sz w:val="20"/>
          <w:szCs w:val="20"/>
          <w:color w:val="auto"/>
        </w:rPr>
      </w:pPr>
      <w:r>
        <w:rPr>
          <w:rFonts w:ascii="Times New Roman" w:cs="Times New Roman" w:eastAsia="Times New Roman" w:hAnsi="Times New Roman"/>
          <w:sz w:val="14"/>
          <w:szCs w:val="14"/>
          <w:color w:val="auto"/>
        </w:rPr>
        <w:t>withholding of such notice is in the interests of the Holders of the debt securities of such series. The term “default” for the purpose of this provision means any event which is, or after notice or lapse of time or both would become, an Event of Default with respect to debt securities of such series. The indenture contains provisions entitling the Trustee under the indenture, subject to the duty of the Trustee during an Event of Default to act with the required standard of care, to be indemnified to its reasonable satisfaction by the Holders of the debt securities before proceeding to exercise any right or power under the indenture at the request of Holders of such debt securities.</w:t>
      </w:r>
    </w:p>
    <w:p>
      <w:pPr>
        <w:spacing w:after="0" w:line="143" w:lineRule="exact"/>
        <w:rPr>
          <w:sz w:val="20"/>
          <w:szCs w:val="20"/>
          <w:color w:val="auto"/>
        </w:rPr>
      </w:pPr>
    </w:p>
    <w:p>
      <w:pPr>
        <w:ind w:left="1280" w:right="459"/>
        <w:spacing w:after="0" w:line="273" w:lineRule="auto"/>
        <w:rPr>
          <w:sz w:val="20"/>
          <w:szCs w:val="20"/>
          <w:color w:val="auto"/>
        </w:rPr>
      </w:pPr>
      <w:r>
        <w:rPr>
          <w:rFonts w:ascii="Times New Roman" w:cs="Times New Roman" w:eastAsia="Times New Roman" w:hAnsi="Times New Roman"/>
          <w:sz w:val="14"/>
          <w:szCs w:val="14"/>
          <w:color w:val="auto"/>
        </w:rPr>
        <w:t>The indenture provides that the Holders of a majority in aggregate principal amount of the outstanding debt securities of any series issued under the indenture may direct the time, method and place of conducting proceedings for remedies available to the Trustee or exercising any trust or power conferred on the Trustee in respect of such series, subject to certain conditions.</w:t>
      </w:r>
    </w:p>
    <w:p>
      <w:pPr>
        <w:spacing w:after="0" w:line="136" w:lineRule="exact"/>
        <w:rPr>
          <w:sz w:val="20"/>
          <w:szCs w:val="20"/>
          <w:color w:val="auto"/>
        </w:rPr>
      </w:pPr>
    </w:p>
    <w:p>
      <w:pPr>
        <w:jc w:val="both"/>
        <w:ind w:left="1280" w:right="219"/>
        <w:spacing w:after="0" w:line="267" w:lineRule="auto"/>
        <w:rPr>
          <w:sz w:val="20"/>
          <w:szCs w:val="20"/>
          <w:color w:val="auto"/>
        </w:rPr>
      </w:pPr>
      <w:r>
        <w:rPr>
          <w:rFonts w:ascii="Times New Roman" w:cs="Times New Roman" w:eastAsia="Times New Roman" w:hAnsi="Times New Roman"/>
          <w:sz w:val="14"/>
          <w:szCs w:val="14"/>
          <w:color w:val="auto"/>
        </w:rPr>
        <w:t>In certain cases, the Holders of a majority in principal amount of the outstanding debt securities of any series may waive, on behalf of the Holders of all debt securities of such series, any past default or Event of Default with respect to the debt securities of such series except, among other things, a default not theretofore cured in payment of the principal of, or premium, if any, or interest, if any, on any of the debt securities of such series or payment of any sinking or purchase fund or analogous obligations with respect to such debt securities.</w:t>
      </w:r>
    </w:p>
    <w:p>
      <w:pPr>
        <w:spacing w:after="0" w:line="1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The indenture includes a covenant that we will file annually with the Trustee a certificate of no default or specifying any default that exists.</w:t>
      </w:r>
    </w:p>
    <w:p>
      <w:pPr>
        <w:spacing w:after="0" w:line="2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Modification of the Indenture</w:t>
      </w:r>
    </w:p>
    <w:p>
      <w:pPr>
        <w:spacing w:after="0" w:line="98" w:lineRule="exact"/>
        <w:rPr>
          <w:sz w:val="20"/>
          <w:szCs w:val="20"/>
          <w:color w:val="auto"/>
        </w:rPr>
      </w:pPr>
    </w:p>
    <w:p>
      <w:pPr>
        <w:ind w:left="1280" w:right="159"/>
        <w:spacing w:after="0" w:line="291" w:lineRule="auto"/>
        <w:rPr>
          <w:sz w:val="20"/>
          <w:szCs w:val="20"/>
          <w:color w:val="auto"/>
        </w:rPr>
      </w:pPr>
      <w:r>
        <w:rPr>
          <w:rFonts w:ascii="Times New Roman" w:cs="Times New Roman" w:eastAsia="Times New Roman" w:hAnsi="Times New Roman"/>
          <w:sz w:val="14"/>
          <w:szCs w:val="14"/>
          <w:color w:val="auto"/>
        </w:rPr>
        <w:t>We and the Trustee may, without the consent of the Holders of the debt securities issued under the indenture governing such debt securities, enter into an indenture supplemental to the indenture for, among others, one or more of the following purposes:</w:t>
      </w:r>
    </w:p>
    <w:p>
      <w:pPr>
        <w:spacing w:after="0" w:line="49" w:lineRule="exact"/>
        <w:rPr>
          <w:sz w:val="20"/>
          <w:szCs w:val="20"/>
          <w:color w:val="auto"/>
        </w:rPr>
      </w:pPr>
    </w:p>
    <w:p>
      <w:pPr>
        <w:ind w:left="2040" w:right="199" w:hanging="423"/>
        <w:spacing w:after="0" w:line="291" w:lineRule="auto"/>
        <w:tabs>
          <w:tab w:leader="none" w:pos="20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the succession of another Person to us and the assumption by such successor of our company’s obligations under the indenture and the debt securities of any series;</w:t>
      </w:r>
    </w:p>
    <w:p>
      <w:pPr>
        <w:spacing w:after="0" w:line="48" w:lineRule="exact"/>
        <w:rPr>
          <w:rFonts w:ascii="Times New Roman" w:cs="Times New Roman" w:eastAsia="Times New Roman" w:hAnsi="Times New Roman"/>
          <w:sz w:val="14"/>
          <w:szCs w:val="14"/>
          <w:color w:val="auto"/>
        </w:rPr>
      </w:pPr>
    </w:p>
    <w:p>
      <w:pPr>
        <w:ind w:left="2040" w:right="659" w:hanging="423"/>
        <w:spacing w:after="0" w:line="291" w:lineRule="auto"/>
        <w:tabs>
          <w:tab w:leader="none" w:pos="20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the covenants of our company, or to surrender any rights or powers of our company, for the benefit of the Holders of debt securities of any or all series issued under the indenture;</w:t>
      </w:r>
    </w:p>
    <w:p>
      <w:pPr>
        <w:spacing w:after="0" w:line="48" w:lineRule="exact"/>
        <w:rPr>
          <w:rFonts w:ascii="Times New Roman" w:cs="Times New Roman" w:eastAsia="Times New Roman" w:hAnsi="Times New Roman"/>
          <w:sz w:val="14"/>
          <w:szCs w:val="14"/>
          <w:color w:val="auto"/>
        </w:rPr>
      </w:pPr>
    </w:p>
    <w:p>
      <w:pPr>
        <w:ind w:left="2040" w:right="199" w:hanging="423"/>
        <w:spacing w:after="0" w:line="273" w:lineRule="auto"/>
        <w:tabs>
          <w:tab w:leader="none" w:pos="20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to correct or supplement any provision in the indenture which may be inconsistent with any other provision therein, or to make any other provisions with respect to matters or questions arising under the indenture or to conform the text of the indenture or the debt securities to this description of notes or the description of notes in an applicable prospectus supplement;</w:t>
      </w:r>
    </w:p>
    <w:p>
      <w:pPr>
        <w:spacing w:after="0" w:line="61" w:lineRule="exact"/>
        <w:rPr>
          <w:rFonts w:ascii="Times New Roman" w:cs="Times New Roman" w:eastAsia="Times New Roman" w:hAnsi="Times New Roman"/>
          <w:sz w:val="14"/>
          <w:szCs w:val="14"/>
          <w:color w:val="auto"/>
        </w:rPr>
      </w:pPr>
    </w:p>
    <w:p>
      <w:pPr>
        <w:ind w:left="2040" w:right="319" w:hanging="423"/>
        <w:spacing w:after="0" w:line="273" w:lineRule="auto"/>
        <w:tabs>
          <w:tab w:leader="none" w:pos="20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the indenture any provisions that may be expressly permitted by the Trust Indenture Act of 1939, as amended, or “the Act,” excluding the provisions referred to in Section 316(a)(2) of the Act as in effect at the date as of which the indenture was executed or any corresponding provision in any similar federal statute hereafter enacted;</w:t>
      </w:r>
    </w:p>
    <w:p>
      <w:pPr>
        <w:spacing w:after="0" w:line="61" w:lineRule="exact"/>
        <w:rPr>
          <w:rFonts w:ascii="Times New Roman" w:cs="Times New Roman" w:eastAsia="Times New Roman" w:hAnsi="Times New Roman"/>
          <w:sz w:val="14"/>
          <w:szCs w:val="14"/>
          <w:color w:val="auto"/>
        </w:rPr>
      </w:pPr>
    </w:p>
    <w:p>
      <w:pPr>
        <w:ind w:left="2040" w:right="319" w:hanging="423"/>
        <w:spacing w:after="0" w:line="291" w:lineRule="auto"/>
        <w:tabs>
          <w:tab w:leader="none" w:pos="20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 or terms of any series of debt securities to be issued under the indenture, to provide for the issuance of any series of debt securities and/or to add to the rights of the Holders of debt securities;</w:t>
      </w:r>
    </w:p>
    <w:p>
      <w:pPr>
        <w:spacing w:after="0" w:line="48" w:lineRule="exact"/>
        <w:rPr>
          <w:rFonts w:ascii="Times New Roman" w:cs="Times New Roman" w:eastAsia="Times New Roman" w:hAnsi="Times New Roman"/>
          <w:sz w:val="14"/>
          <w:szCs w:val="14"/>
          <w:color w:val="auto"/>
        </w:rPr>
      </w:pPr>
    </w:p>
    <w:p>
      <w:pPr>
        <w:ind w:left="2040" w:right="299" w:hanging="423"/>
        <w:spacing w:after="0" w:line="273" w:lineRule="auto"/>
        <w:tabs>
          <w:tab w:leader="none" w:pos="20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any successor Trustee with respect to one or more series of debt securities or to add or change any of the provisions of the indenture as shall be necessary to facilitate the administration of the trusts thereunder by one or more trustees in accordance with the indenture;</w:t>
      </w:r>
    </w:p>
    <w:p>
      <w:pPr>
        <w:spacing w:after="0" w:line="61" w:lineRule="exact"/>
        <w:rPr>
          <w:rFonts w:ascii="Times New Roman" w:cs="Times New Roman" w:eastAsia="Times New Roman" w:hAnsi="Times New Roman"/>
          <w:sz w:val="14"/>
          <w:szCs w:val="14"/>
          <w:color w:val="auto"/>
        </w:rPr>
      </w:pPr>
    </w:p>
    <w:p>
      <w:pPr>
        <w:ind w:left="2040" w:hanging="423"/>
        <w:spacing w:after="0"/>
        <w:tabs>
          <w:tab w:leader="none" w:pos="20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any additional Events of Default;</w:t>
      </w:r>
    </w:p>
    <w:p>
      <w:pPr>
        <w:spacing w:after="0" w:line="106" w:lineRule="exact"/>
        <w:rPr>
          <w:rFonts w:ascii="Times New Roman" w:cs="Times New Roman" w:eastAsia="Times New Roman" w:hAnsi="Times New Roman"/>
          <w:sz w:val="14"/>
          <w:szCs w:val="14"/>
          <w:color w:val="auto"/>
        </w:rPr>
      </w:pPr>
    </w:p>
    <w:p>
      <w:pPr>
        <w:ind w:left="2040" w:right="439" w:hanging="423"/>
        <w:spacing w:after="0" w:line="291" w:lineRule="auto"/>
        <w:tabs>
          <w:tab w:leader="none" w:pos="20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or in place of certificated securities; provided that the uncertificated securities are issued in registered form for certain federal tax purposes;</w:t>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91"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ind w:left="2040" w:right="279" w:hanging="423"/>
        <w:spacing w:after="0" w:line="291" w:lineRule="auto"/>
        <w:tabs>
          <w:tab w:leader="none" w:pos="20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terms and conditions of converting those debt securities that are convertible into common stock or another such similar security;</w:t>
      </w:r>
    </w:p>
    <w:p>
      <w:pPr>
        <w:spacing w:after="0" w:line="48" w:lineRule="exact"/>
        <w:rPr>
          <w:rFonts w:ascii="Times New Roman" w:cs="Times New Roman" w:eastAsia="Times New Roman" w:hAnsi="Times New Roman"/>
          <w:sz w:val="14"/>
          <w:szCs w:val="14"/>
          <w:color w:val="auto"/>
        </w:rPr>
      </w:pPr>
    </w:p>
    <w:p>
      <w:pPr>
        <w:ind w:left="2040" w:hanging="423"/>
        <w:spacing w:after="0"/>
        <w:tabs>
          <w:tab w:leader="none" w:pos="20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secure any series of debt securities pursuant to the indenture’s limitation on liens;</w:t>
      </w:r>
    </w:p>
    <w:p>
      <w:pPr>
        <w:spacing w:after="0" w:line="106" w:lineRule="exact"/>
        <w:rPr>
          <w:rFonts w:ascii="Times New Roman" w:cs="Times New Roman" w:eastAsia="Times New Roman" w:hAnsi="Times New Roman"/>
          <w:sz w:val="14"/>
          <w:szCs w:val="14"/>
          <w:color w:val="auto"/>
        </w:rPr>
      </w:pPr>
    </w:p>
    <w:p>
      <w:pPr>
        <w:ind w:left="2040" w:right="479" w:hanging="423"/>
        <w:spacing w:after="0" w:line="291" w:lineRule="auto"/>
        <w:tabs>
          <w:tab w:leader="none" w:pos="20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necessary to comply with any requirement of the SEC in connection with the qualification of the indenture or the supplemental indenture under the Act or to comply with the rules of any applicable securities depository; and</w:t>
      </w:r>
    </w:p>
    <w:p>
      <w:pPr>
        <w:spacing w:after="0" w:line="48" w:lineRule="exact"/>
        <w:rPr>
          <w:rFonts w:ascii="Times New Roman" w:cs="Times New Roman" w:eastAsia="Times New Roman" w:hAnsi="Times New Roman"/>
          <w:sz w:val="14"/>
          <w:szCs w:val="14"/>
          <w:color w:val="auto"/>
        </w:rPr>
      </w:pPr>
    </w:p>
    <w:p>
      <w:pPr>
        <w:ind w:left="2040" w:hanging="423"/>
        <w:spacing w:after="0"/>
        <w:tabs>
          <w:tab w:leader="none" w:pos="20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other change that does not adversely affect the rights of the Holders of the debt securities.</w:t>
      </w:r>
    </w:p>
    <w:p>
      <w:pPr>
        <w:spacing w:after="0" w:line="182" w:lineRule="exact"/>
        <w:rPr>
          <w:sz w:val="20"/>
          <w:szCs w:val="20"/>
          <w:color w:val="auto"/>
        </w:rPr>
      </w:pPr>
    </w:p>
    <w:p>
      <w:pPr>
        <w:ind w:left="1280" w:right="179"/>
        <w:spacing w:after="0" w:line="291" w:lineRule="auto"/>
        <w:rPr>
          <w:sz w:val="20"/>
          <w:szCs w:val="20"/>
          <w:color w:val="auto"/>
        </w:rPr>
      </w:pPr>
      <w:r>
        <w:rPr>
          <w:rFonts w:ascii="Times New Roman" w:cs="Times New Roman" w:eastAsia="Times New Roman" w:hAnsi="Times New Roman"/>
          <w:sz w:val="14"/>
          <w:szCs w:val="14"/>
          <w:color w:val="auto"/>
        </w:rPr>
        <w:t>No supplemental indenture for the purpose identified in clauses (2), (3), (5) or (7) above may be entered into if to do so would adversely affect the rights of the Holders of debt securities of any series issued under the same indenture in any material respect.</w:t>
      </w:r>
    </w:p>
    <w:p>
      <w:pPr>
        <w:spacing w:after="0" w:line="124" w:lineRule="exact"/>
        <w:rPr>
          <w:sz w:val="20"/>
          <w:szCs w:val="20"/>
          <w:color w:val="auto"/>
        </w:rPr>
      </w:pPr>
    </w:p>
    <w:p>
      <w:pPr>
        <w:ind w:left="1280" w:right="159"/>
        <w:spacing w:after="0" w:line="264" w:lineRule="auto"/>
        <w:rPr>
          <w:sz w:val="20"/>
          <w:szCs w:val="20"/>
          <w:color w:val="auto"/>
        </w:rPr>
      </w:pPr>
      <w:r>
        <w:rPr>
          <w:rFonts w:ascii="Times New Roman" w:cs="Times New Roman" w:eastAsia="Times New Roman" w:hAnsi="Times New Roman"/>
          <w:sz w:val="14"/>
          <w:szCs w:val="14"/>
          <w:color w:val="auto"/>
        </w:rPr>
        <w:t>The indenture contains provisions permitting us and the Trustee under the indenture, with the consent of the Holders of a majority in principal amount of the outstanding debt securities of all series issued under the indenture to be affected voting as a single class, to execute a supplemental indenture for the purpose of adding any provisions to or changing or eliminating any of the provisions of the indenture or modifying the rights of the Holders of the debt securities of such series to be affected, except that no supplemental indenture may, without the consent of the Holders of affected debt securities, among other things:</w:t>
      </w:r>
    </w:p>
    <w:p>
      <w:pPr>
        <w:spacing w:after="0" w:line="68" w:lineRule="exact"/>
        <w:rPr>
          <w:sz w:val="20"/>
          <w:szCs w:val="20"/>
          <w:color w:val="auto"/>
        </w:rPr>
      </w:pPr>
    </w:p>
    <w:p>
      <w:pPr>
        <w:ind w:left="2040" w:right="239" w:hanging="423"/>
        <w:spacing w:after="0" w:line="264" w:lineRule="auto"/>
        <w:tabs>
          <w:tab w:leader="none" w:pos="2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maturity of the principal of, or the maturity of any premium on, or any installment of interest on, any such debt security, or reduce the principal amount or the interest or any premium of any such debt securities, or change the method of computing the amount of principal or interest on any such debt securities on any date or change any place of payment where, or the currency in which, any debt securities or any premium or interest thereon is payable, or impair the right to institute suit for the enforcement of any such payment on or after the maturity of principal or premium, as the case may be;</w:t>
      </w:r>
    </w:p>
    <w:p>
      <w:pPr>
        <w:spacing w:after="0" w:line="67" w:lineRule="exact"/>
        <w:rPr>
          <w:rFonts w:ascii="Times New Roman" w:cs="Times New Roman" w:eastAsia="Times New Roman" w:hAnsi="Times New Roman"/>
          <w:sz w:val="14"/>
          <w:szCs w:val="14"/>
          <w:color w:val="auto"/>
        </w:rPr>
      </w:pPr>
    </w:p>
    <w:p>
      <w:pPr>
        <w:ind w:left="2040" w:right="599" w:hanging="423"/>
        <w:spacing w:after="0" w:line="291" w:lineRule="auto"/>
        <w:tabs>
          <w:tab w:leader="none" w:pos="2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any such debt securities the consent of whose Holders is required for the supplemental indenture, waiver of compliance with certain provisions of the indenture or certain defaults under the indenture;</w:t>
      </w:r>
    </w:p>
    <w:p>
      <w:pPr>
        <w:spacing w:after="0" w:line="48" w:lineRule="exact"/>
        <w:rPr>
          <w:rFonts w:ascii="Times New Roman" w:cs="Times New Roman" w:eastAsia="Times New Roman" w:hAnsi="Times New Roman"/>
          <w:sz w:val="14"/>
          <w:szCs w:val="14"/>
          <w:color w:val="auto"/>
        </w:rPr>
      </w:pPr>
    </w:p>
    <w:p>
      <w:pPr>
        <w:ind w:left="2040" w:right="219" w:hanging="423"/>
        <w:spacing w:after="0" w:line="273" w:lineRule="auto"/>
        <w:tabs>
          <w:tab w:leader="none" w:pos="2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any of the provisions of the indenture related to (i) the requirement that the Holders of debt securities issued under the indenture consent to certain amendments of the indenture, (ii) the waiver of past defaults and (iii) the waiver of certain covenants, except to increase the percentage of Holders required to make such amendments or grant such waivers; or</w:t>
      </w:r>
    </w:p>
    <w:p>
      <w:pPr>
        <w:spacing w:after="0" w:line="61" w:lineRule="exact"/>
        <w:rPr>
          <w:rFonts w:ascii="Times New Roman" w:cs="Times New Roman" w:eastAsia="Times New Roman" w:hAnsi="Times New Roman"/>
          <w:sz w:val="14"/>
          <w:szCs w:val="14"/>
          <w:color w:val="auto"/>
        </w:rPr>
      </w:pPr>
    </w:p>
    <w:p>
      <w:pPr>
        <w:ind w:left="2040" w:right="479" w:hanging="423"/>
        <w:spacing w:after="0" w:line="291" w:lineRule="auto"/>
        <w:tabs>
          <w:tab w:leader="none" w:pos="2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or adversely affect the right of any Holder to institute suit for the enforcement of any payment on, or with respect to, such debt securities on or after the maturity of such debt securities.</w:t>
      </w:r>
    </w:p>
    <w:p>
      <w:pPr>
        <w:spacing w:after="0" w:line="2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The indenture will be governed by, and construed in accordance with, the laws of the State of New York.</w:t>
      </w:r>
    </w:p>
    <w:p>
      <w:pPr>
        <w:spacing w:after="0" w:line="2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98" w:lineRule="exact"/>
        <w:rPr>
          <w:sz w:val="20"/>
          <w:szCs w:val="20"/>
          <w:color w:val="auto"/>
        </w:rPr>
      </w:pPr>
    </w:p>
    <w:p>
      <w:pPr>
        <w:ind w:left="1280" w:right="579"/>
        <w:spacing w:after="0" w:line="291" w:lineRule="auto"/>
        <w:rPr>
          <w:sz w:val="20"/>
          <w:szCs w:val="20"/>
          <w:color w:val="auto"/>
        </w:rPr>
      </w:pPr>
      <w:r>
        <w:rPr>
          <w:rFonts w:ascii="Times New Roman" w:cs="Times New Roman" w:eastAsia="Times New Roman" w:hAnsi="Times New Roman"/>
          <w:sz w:val="14"/>
          <w:szCs w:val="14"/>
          <w:color w:val="auto"/>
        </w:rPr>
        <w:t>We may issue debt securities through global securities. A global security is a security, typically held by a depositary, that represents the beneficial interests of a number of purchasers of the security. If we do issue global securities, the following procedures will apply.</w:t>
      </w:r>
    </w:p>
    <w:p>
      <w:pPr>
        <w:spacing w:after="0" w:line="124" w:lineRule="exact"/>
        <w:rPr>
          <w:sz w:val="20"/>
          <w:szCs w:val="20"/>
          <w:color w:val="auto"/>
        </w:rPr>
      </w:pPr>
    </w:p>
    <w:p>
      <w:pPr>
        <w:ind w:left="1280" w:right="259"/>
        <w:spacing w:after="0" w:line="273" w:lineRule="auto"/>
        <w:rPr>
          <w:sz w:val="20"/>
          <w:szCs w:val="20"/>
          <w:color w:val="auto"/>
        </w:rPr>
      </w:pPr>
      <w:r>
        <w:rPr>
          <w:rFonts w:ascii="Times New Roman" w:cs="Times New Roman" w:eastAsia="Times New Roman" w:hAnsi="Times New Roman"/>
          <w:sz w:val="14"/>
          <w:szCs w:val="14"/>
          <w:color w:val="auto"/>
        </w:rPr>
        <w:t>We will deposit global securities with the depositary identified in the prospectus supplement. After we issue a global security, the depositary will credit on its book-entry registration and transfer system the respective principal amounts of the debt securities represented by the global security to the accounts of persons who have accounts with the depositary. These account Holders are known as “participants.” The underwriters or agents</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91"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ind w:left="1280" w:right="219"/>
        <w:spacing w:after="0" w:line="273" w:lineRule="auto"/>
        <w:rPr>
          <w:sz w:val="20"/>
          <w:szCs w:val="20"/>
          <w:color w:val="auto"/>
        </w:rPr>
      </w:pPr>
      <w:r>
        <w:rPr>
          <w:rFonts w:ascii="Times New Roman" w:cs="Times New Roman" w:eastAsia="Times New Roman" w:hAnsi="Times New Roman"/>
          <w:sz w:val="14"/>
          <w:szCs w:val="14"/>
          <w:color w:val="auto"/>
        </w:rPr>
        <w:t>participating in the distribution of the debt securities will designate the accounts to be credited. Only a participant or a person who holds an interest through a participant may be the beneficial owner of a global security. Ownership of beneficial interests in the global security will be shown on, and the transfer of that ownership will be effected only through, records maintained by the depositary and its participants.</w:t>
      </w:r>
    </w:p>
    <w:p>
      <w:pPr>
        <w:spacing w:after="0" w:line="136" w:lineRule="exact"/>
        <w:rPr>
          <w:sz w:val="20"/>
          <w:szCs w:val="20"/>
          <w:color w:val="auto"/>
        </w:rPr>
      </w:pPr>
    </w:p>
    <w:p>
      <w:pPr>
        <w:ind w:left="1280" w:right="259"/>
        <w:spacing w:after="0" w:line="267" w:lineRule="auto"/>
        <w:rPr>
          <w:sz w:val="20"/>
          <w:szCs w:val="20"/>
          <w:color w:val="auto"/>
        </w:rPr>
      </w:pPr>
      <w:r>
        <w:rPr>
          <w:rFonts w:ascii="Times New Roman" w:cs="Times New Roman" w:eastAsia="Times New Roman" w:hAnsi="Times New Roman"/>
          <w:sz w:val="14"/>
          <w:szCs w:val="14"/>
          <w:color w:val="auto"/>
        </w:rPr>
        <w:t>We and the Trustee will treat the depositary or its nominee as the sole owner or Holder of the debt securities represented by a global security. Except as set forth below, owners of beneficial interests in a global security will not be entitled to have the debt securities represented by the global security registered in their names. They also will not receive or be entitled to receive physical delivery of the debt securities in definitive form and will not be considered the owners or Holders of the debt securities.</w:t>
      </w:r>
    </w:p>
    <w:p>
      <w:pPr>
        <w:spacing w:after="0" w:line="140" w:lineRule="exact"/>
        <w:rPr>
          <w:sz w:val="20"/>
          <w:szCs w:val="20"/>
          <w:color w:val="auto"/>
        </w:rPr>
      </w:pPr>
    </w:p>
    <w:p>
      <w:pPr>
        <w:ind w:left="1280" w:right="259"/>
        <w:spacing w:after="0" w:line="267" w:lineRule="auto"/>
        <w:rPr>
          <w:sz w:val="20"/>
          <w:szCs w:val="20"/>
          <w:color w:val="auto"/>
        </w:rPr>
      </w:pPr>
      <w:r>
        <w:rPr>
          <w:rFonts w:ascii="Times New Roman" w:cs="Times New Roman" w:eastAsia="Times New Roman" w:hAnsi="Times New Roman"/>
          <w:sz w:val="14"/>
          <w:szCs w:val="14"/>
          <w:color w:val="auto"/>
        </w:rPr>
        <w:t>Principal, any premium and any interest payments on debt securities represented by a global security registered in the name of a depositary or its nominee will be made to the depositary or its nominee as the registered owner of the global security. None of us, the Trustee or any paying agent will have any responsibility or liability for any aspect of the records relating to or payments made on account of beneficial ownership interests in the global security or maintaining, supervising or reviewing any records relating to the beneficial ownership interests.</w:t>
      </w:r>
    </w:p>
    <w:p>
      <w:pPr>
        <w:spacing w:after="0" w:line="140" w:lineRule="exact"/>
        <w:rPr>
          <w:sz w:val="20"/>
          <w:szCs w:val="20"/>
          <w:color w:val="auto"/>
        </w:rPr>
      </w:pPr>
    </w:p>
    <w:p>
      <w:pPr>
        <w:jc w:val="both"/>
        <w:ind w:left="1280" w:right="219"/>
        <w:spacing w:after="0" w:line="267" w:lineRule="auto"/>
        <w:rPr>
          <w:sz w:val="20"/>
          <w:szCs w:val="20"/>
          <w:color w:val="auto"/>
        </w:rPr>
      </w:pPr>
      <w:r>
        <w:rPr>
          <w:rFonts w:ascii="Times New Roman" w:cs="Times New Roman" w:eastAsia="Times New Roman" w:hAnsi="Times New Roman"/>
          <w:sz w:val="14"/>
          <w:szCs w:val="14"/>
          <w:color w:val="auto"/>
        </w:rPr>
        <w:t>We expect that the depositary, upon receipt of any payments, will immediately credit participants’ accounts with payments in amounts proportionate to their respective beneficial interests in the principal amount of the global security as shown on the depositary’s records. We also expect that payments by participants to owners of beneficial interests in the global security will be governed by standing instructions and customary practices, as is the case with the securities held for the accounts of customers registered in “street names,” and will be the responsibility of the participants.</w:t>
      </w:r>
    </w:p>
    <w:p>
      <w:pPr>
        <w:spacing w:after="0" w:line="140" w:lineRule="exact"/>
        <w:rPr>
          <w:sz w:val="20"/>
          <w:szCs w:val="20"/>
          <w:color w:val="auto"/>
        </w:rPr>
      </w:pPr>
    </w:p>
    <w:p>
      <w:pPr>
        <w:ind w:left="1280" w:right="219"/>
        <w:spacing w:after="0" w:line="267" w:lineRule="auto"/>
        <w:rPr>
          <w:sz w:val="20"/>
          <w:szCs w:val="20"/>
          <w:color w:val="auto"/>
        </w:rPr>
      </w:pPr>
      <w:r>
        <w:rPr>
          <w:rFonts w:ascii="Times New Roman" w:cs="Times New Roman" w:eastAsia="Times New Roman" w:hAnsi="Times New Roman"/>
          <w:sz w:val="14"/>
          <w:szCs w:val="14"/>
          <w:color w:val="auto"/>
        </w:rPr>
        <w:t>If the depositary is at any time unwilling or unable to continue as depositary and a successor depositary is not appointed by us within 90 days, we will issue registered securities in exchange for the global security. In addition, we may at any time in our sole discretion determine not to have any of the debt securities of a series represented by global securities. In that event, we will issue debt securities of that series in definitive form in exchange for the global securities.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91"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DESCRIPTION OF THE CAPITAL STOCK</w:t>
      </w:r>
    </w:p>
    <w:p>
      <w:pPr>
        <w:spacing w:after="0" w:line="184" w:lineRule="exact"/>
        <w:rPr>
          <w:sz w:val="20"/>
          <w:szCs w:val="20"/>
          <w:color w:val="auto"/>
        </w:rPr>
      </w:pPr>
    </w:p>
    <w:p>
      <w:pPr>
        <w:ind w:left="1280" w:right="899"/>
        <w:spacing w:after="0" w:line="291" w:lineRule="auto"/>
        <w:rPr>
          <w:sz w:val="20"/>
          <w:szCs w:val="20"/>
          <w:color w:val="auto"/>
        </w:rPr>
      </w:pPr>
      <w:r>
        <w:rPr>
          <w:rFonts w:ascii="Times New Roman" w:cs="Times New Roman" w:eastAsia="Times New Roman" w:hAnsi="Times New Roman"/>
          <w:sz w:val="14"/>
          <w:szCs w:val="14"/>
          <w:color w:val="auto"/>
        </w:rPr>
        <w:t>The description of our capital stock is incorporated by reference to Exhibit 4.2 to our Annual Report on Form 10-K for the fiscal year ended December 31, 2021, filed with the SEC on March 3, 2022.</w:t>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91"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DESCRIPTION OF THE DEPOSITARY SHARES</w:t>
      </w:r>
    </w:p>
    <w:p>
      <w:pPr>
        <w:spacing w:after="0" w:line="1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8" w:lineRule="exact"/>
        <w:rPr>
          <w:sz w:val="20"/>
          <w:szCs w:val="20"/>
          <w:color w:val="auto"/>
        </w:rPr>
      </w:pPr>
    </w:p>
    <w:p>
      <w:pPr>
        <w:ind w:left="1280" w:right="179"/>
        <w:spacing w:after="0" w:line="273" w:lineRule="auto"/>
        <w:rPr>
          <w:sz w:val="20"/>
          <w:szCs w:val="20"/>
          <w:color w:val="auto"/>
        </w:rPr>
      </w:pPr>
      <w:r>
        <w:rPr>
          <w:rFonts w:ascii="Times New Roman" w:cs="Times New Roman" w:eastAsia="Times New Roman" w:hAnsi="Times New Roman"/>
          <w:sz w:val="14"/>
          <w:szCs w:val="14"/>
          <w:color w:val="auto"/>
        </w:rPr>
        <w:t>We may, at our option, elect to offer fractional shares rather than full shares of the preferred stock of a series. In the event that we determine to do so, we will issue receipts for depositary shares, each of which will represent a fraction (to be set forth in the prospectus supplement relating to a particular series of preferred stock) of a share of a particular series of preferred stock as more fully described below.</w:t>
      </w:r>
    </w:p>
    <w:p>
      <w:pPr>
        <w:spacing w:after="0" w:line="136" w:lineRule="exact"/>
        <w:rPr>
          <w:sz w:val="20"/>
          <w:szCs w:val="20"/>
          <w:color w:val="auto"/>
        </w:rPr>
      </w:pPr>
    </w:p>
    <w:p>
      <w:pPr>
        <w:ind w:left="1280" w:right="219"/>
        <w:spacing w:after="0" w:line="264" w:lineRule="auto"/>
        <w:rPr>
          <w:sz w:val="20"/>
          <w:szCs w:val="20"/>
          <w:color w:val="auto"/>
        </w:rPr>
      </w:pPr>
      <w:r>
        <w:rPr>
          <w:rFonts w:ascii="Times New Roman" w:cs="Times New Roman" w:eastAsia="Times New Roman" w:hAnsi="Times New Roman"/>
          <w:sz w:val="14"/>
          <w:szCs w:val="14"/>
          <w:color w:val="auto"/>
        </w:rPr>
        <w:t>The shares of any series of preferred stock represented by depositary shares will be deposited under one or more deposit agreements among us, a depositary to be named in the applicable prospectus supplement, and the holders from time to time of depositary receipts issued thereunder. Subject to the terms of the applicable deposit agreement, each holder of a depositary share will be entitled, in proportion to the applicable fraction of a share of preferred stock represented by the depositary share, to all the rights and preferences of the preferred stock represented thereby (including, as applicable, dividend, voting, redemption, subscription and liquidation rights).</w:t>
      </w:r>
    </w:p>
    <w:p>
      <w:pPr>
        <w:spacing w:after="0" w:line="143" w:lineRule="exact"/>
        <w:rPr>
          <w:sz w:val="20"/>
          <w:szCs w:val="20"/>
          <w:color w:val="auto"/>
        </w:rPr>
      </w:pPr>
    </w:p>
    <w:p>
      <w:pPr>
        <w:ind w:left="1280" w:right="219"/>
        <w:spacing w:after="0" w:line="291" w:lineRule="auto"/>
        <w:rPr>
          <w:sz w:val="20"/>
          <w:szCs w:val="20"/>
          <w:color w:val="auto"/>
        </w:rPr>
      </w:pPr>
      <w:r>
        <w:rPr>
          <w:rFonts w:ascii="Times New Roman" w:cs="Times New Roman" w:eastAsia="Times New Roman" w:hAnsi="Times New Roman"/>
          <w:sz w:val="14"/>
          <w:szCs w:val="14"/>
          <w:color w:val="auto"/>
        </w:rPr>
        <w:t>The depositary shares will be evidenced by depositary receipts issued pursuant to the deposit agreement. Depositary receipts will be distributed to those persons purchasing the fractional shares of the related series of preferred stock.</w:t>
      </w:r>
    </w:p>
    <w:p>
      <w:pPr>
        <w:spacing w:after="0" w:line="124" w:lineRule="exact"/>
        <w:rPr>
          <w:sz w:val="20"/>
          <w:szCs w:val="20"/>
          <w:color w:val="auto"/>
        </w:rPr>
      </w:pPr>
    </w:p>
    <w:p>
      <w:pPr>
        <w:ind w:left="1280" w:right="239"/>
        <w:spacing w:after="0" w:line="262" w:lineRule="auto"/>
        <w:rPr>
          <w:sz w:val="20"/>
          <w:szCs w:val="20"/>
          <w:color w:val="auto"/>
        </w:rPr>
      </w:pPr>
      <w:r>
        <w:rPr>
          <w:rFonts w:ascii="Times New Roman" w:cs="Times New Roman" w:eastAsia="Times New Roman" w:hAnsi="Times New Roman"/>
          <w:sz w:val="14"/>
          <w:szCs w:val="14"/>
          <w:color w:val="auto"/>
        </w:rPr>
        <w:t>The following description sets forth certain general terms and provisions of the depositary shares to which any prospectus supplement may relate. The particular terms of the depositary shares to which any prospectus supplement may relate and the extent, if any, to which such general provisions may apply to the depositary shares so offered will be described in the applicable prospectus supplement. To the extent that any particular terms of the depositary shares or the deposit agreement described in a prospectus supplement differ from any of the terms described below, then the terms described below will be deemed to have been superseded by that prospectus supplement relating to such deposited shares. The forms of deposit agreement and depositary receipt will be filed as exhibits to the documents incorporated or deemed to be incorporated by reference in this prospectus.</w:t>
      </w:r>
    </w:p>
    <w:p>
      <w:pPr>
        <w:spacing w:after="0" w:line="145" w:lineRule="exact"/>
        <w:rPr>
          <w:sz w:val="20"/>
          <w:szCs w:val="20"/>
          <w:color w:val="auto"/>
        </w:rPr>
      </w:pPr>
    </w:p>
    <w:p>
      <w:pPr>
        <w:ind w:left="1280" w:right="379"/>
        <w:spacing w:after="0" w:line="273" w:lineRule="auto"/>
        <w:rPr>
          <w:sz w:val="20"/>
          <w:szCs w:val="20"/>
          <w:color w:val="auto"/>
        </w:rPr>
      </w:pPr>
      <w:r>
        <w:rPr>
          <w:rFonts w:ascii="Times New Roman" w:cs="Times New Roman" w:eastAsia="Times New Roman" w:hAnsi="Times New Roman"/>
          <w:sz w:val="14"/>
          <w:szCs w:val="14"/>
          <w:color w:val="auto"/>
        </w:rPr>
        <w:t>The following summary of certain provisions of the depositary shares and deposit agreement does not purport to be complete and is subject to, and is qualified in its entirety by express reference to, all the provisions of the deposit agreement and the applicable prospectus supplement, including the definitions.</w:t>
      </w:r>
    </w:p>
    <w:p>
      <w:pPr>
        <w:spacing w:after="0" w:line="136" w:lineRule="exact"/>
        <w:rPr>
          <w:sz w:val="20"/>
          <w:szCs w:val="20"/>
          <w:color w:val="auto"/>
        </w:rPr>
      </w:pPr>
    </w:p>
    <w:p>
      <w:pPr>
        <w:jc w:val="both"/>
        <w:ind w:left="1280" w:right="239"/>
        <w:spacing w:after="0" w:line="273" w:lineRule="auto"/>
        <w:rPr>
          <w:sz w:val="20"/>
          <w:szCs w:val="20"/>
          <w:color w:val="auto"/>
        </w:rPr>
      </w:pPr>
      <w:r>
        <w:rPr>
          <w:rFonts w:ascii="Times New Roman" w:cs="Times New Roman" w:eastAsia="Times New Roman" w:hAnsi="Times New Roman"/>
          <w:sz w:val="14"/>
          <w:szCs w:val="14"/>
          <w:color w:val="auto"/>
        </w:rPr>
        <w:t>Immediately following our issuance of shares of a series of preferred stock that will be offered as fractional shares, we will deposit the shares with the depositary, which will then issue and deliver the depositary receipts to the purchasers thereof. Depositary receipts will only be issued evidencing whole depositary shares. A depositary receipt may evidence any number of whole depositary shares.</w:t>
      </w:r>
    </w:p>
    <w:p>
      <w:pPr>
        <w:spacing w:after="0" w:line="136" w:lineRule="exact"/>
        <w:rPr>
          <w:sz w:val="20"/>
          <w:szCs w:val="20"/>
          <w:color w:val="auto"/>
        </w:rPr>
      </w:pPr>
    </w:p>
    <w:p>
      <w:pPr>
        <w:ind w:left="1280" w:right="319"/>
        <w:spacing w:after="0" w:line="267" w:lineRule="auto"/>
        <w:rPr>
          <w:sz w:val="20"/>
          <w:szCs w:val="20"/>
          <w:color w:val="auto"/>
        </w:rPr>
      </w:pPr>
      <w:r>
        <w:rPr>
          <w:rFonts w:ascii="Times New Roman" w:cs="Times New Roman" w:eastAsia="Times New Roman" w:hAnsi="Times New Roman"/>
          <w:sz w:val="14"/>
          <w:szCs w:val="14"/>
          <w:color w:val="auto"/>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thereafter without unreasonable delay, and such temporary depositary receipts will be exchangeable for definitive depositary receipts at our expense.</w:t>
      </w: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Dividends and Other Distributions</w:t>
      </w:r>
    </w:p>
    <w:p>
      <w:pPr>
        <w:spacing w:after="0" w:line="98" w:lineRule="exact"/>
        <w:rPr>
          <w:sz w:val="20"/>
          <w:szCs w:val="20"/>
          <w:color w:val="auto"/>
        </w:rPr>
      </w:pPr>
    </w:p>
    <w:p>
      <w:pPr>
        <w:ind w:left="1280" w:right="559"/>
        <w:spacing w:after="0" w:line="291" w:lineRule="auto"/>
        <w:rPr>
          <w:sz w:val="20"/>
          <w:szCs w:val="20"/>
          <w:color w:val="auto"/>
        </w:rPr>
      </w:pPr>
      <w:r>
        <w:rPr>
          <w:rFonts w:ascii="Times New Roman" w:cs="Times New Roman" w:eastAsia="Times New Roman" w:hAnsi="Times New Roman"/>
          <w:sz w:val="14"/>
          <w:szCs w:val="14"/>
          <w:color w:val="auto"/>
        </w:rPr>
        <w:t>The depositary will distribute all cash dividends or other cash distributions received in respect of the related series of preferred stock to the record holders of depositary shares relating to the series of preferred stock in proportion to the number of the depositary shares owned by the holders.</w:t>
      </w:r>
    </w:p>
    <w:p>
      <w:pPr>
        <w:spacing w:after="0" w:line="124" w:lineRule="exact"/>
        <w:rPr>
          <w:sz w:val="20"/>
          <w:szCs w:val="20"/>
          <w:color w:val="auto"/>
        </w:rPr>
      </w:pPr>
    </w:p>
    <w:p>
      <w:pPr>
        <w:ind w:left="1280" w:right="319"/>
        <w:spacing w:after="0" w:line="291" w:lineRule="auto"/>
        <w:rPr>
          <w:sz w:val="20"/>
          <w:szCs w:val="20"/>
          <w:color w:val="auto"/>
        </w:rPr>
      </w:pPr>
      <w:r>
        <w:rPr>
          <w:rFonts w:ascii="Times New Roman" w:cs="Times New Roman" w:eastAsia="Times New Roman" w:hAnsi="Times New Roman"/>
          <w:sz w:val="14"/>
          <w:szCs w:val="14"/>
          <w:color w:val="auto"/>
        </w:rPr>
        <w:t>In the event of a distribution other than in cash, the depositary will distribute property received by it to the record holders of depositary shares entitled thereto in proportion to the number of depositary shares owned by the</w:t>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91"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ind w:left="1280" w:right="299"/>
        <w:spacing w:after="0" w:line="267" w:lineRule="auto"/>
        <w:rPr>
          <w:sz w:val="20"/>
          <w:szCs w:val="20"/>
          <w:color w:val="auto"/>
        </w:rPr>
      </w:pPr>
      <w:r>
        <w:rPr>
          <w:rFonts w:ascii="Times New Roman" w:cs="Times New Roman" w:eastAsia="Times New Roman" w:hAnsi="Times New Roman"/>
          <w:sz w:val="14"/>
          <w:szCs w:val="14"/>
          <w:color w:val="auto"/>
        </w:rPr>
        <w:t>holders, unless the depositary determines that the distribution cannot be made proportionately among the holders or that it is not feasible to make the distributions, in which case the depositary may, with our approval, adopt any method as it deems equitable and practicable for the purpose of effecting the distribution, including the sale (at public or private sale) of the securities or property thus received, or any part thereof, at the place or places and upon those terms as it may deem proper.</w:t>
      </w:r>
    </w:p>
    <w:p>
      <w:pPr>
        <w:spacing w:after="0" w:line="140" w:lineRule="exact"/>
        <w:rPr>
          <w:sz w:val="20"/>
          <w:szCs w:val="20"/>
          <w:color w:val="auto"/>
        </w:rPr>
      </w:pPr>
    </w:p>
    <w:p>
      <w:pPr>
        <w:ind w:left="1280" w:right="179"/>
        <w:spacing w:after="0" w:line="291" w:lineRule="auto"/>
        <w:rPr>
          <w:sz w:val="20"/>
          <w:szCs w:val="20"/>
          <w:color w:val="auto"/>
        </w:rPr>
      </w:pPr>
      <w:r>
        <w:rPr>
          <w:rFonts w:ascii="Times New Roman" w:cs="Times New Roman" w:eastAsia="Times New Roman" w:hAnsi="Times New Roman"/>
          <w:sz w:val="14"/>
          <w:szCs w:val="14"/>
          <w:color w:val="auto"/>
        </w:rPr>
        <w:t>The amount distributed in any of the foregoing cases will be reduced by any amounts required to be withheld by us or the depositary on account of taxes or other governmental charges.</w:t>
      </w:r>
    </w:p>
    <w:p>
      <w:pPr>
        <w:spacing w:after="0" w:line="2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Redemption of Depositary Shares</w:t>
      </w:r>
    </w:p>
    <w:p>
      <w:pPr>
        <w:spacing w:after="0" w:line="98" w:lineRule="exact"/>
        <w:rPr>
          <w:sz w:val="20"/>
          <w:szCs w:val="20"/>
          <w:color w:val="auto"/>
        </w:rPr>
      </w:pPr>
    </w:p>
    <w:p>
      <w:pPr>
        <w:ind w:left="1280" w:right="179"/>
        <w:spacing w:after="0" w:line="262" w:lineRule="auto"/>
        <w:rPr>
          <w:sz w:val="20"/>
          <w:szCs w:val="20"/>
          <w:color w:val="auto"/>
        </w:rPr>
      </w:pPr>
      <w:r>
        <w:rPr>
          <w:rFonts w:ascii="Times New Roman" w:cs="Times New Roman" w:eastAsia="Times New Roman" w:hAnsi="Times New Roman"/>
          <w:sz w:val="14"/>
          <w:szCs w:val="14"/>
          <w:color w:val="auto"/>
        </w:rPr>
        <w:t>If any series of the preferred stock underlying the depositary shares is subject to redemption, the depositary shares will be redeemed from the proceeds received by the depositary resulting from any redemption, in whole or in part, of the series of the preferred stock held by the depositary. The redemption price per depositary share will be equal to the applicable fraction of the redemption price per share payable with respect to the series of the preferred stock. If we redeem shares of a series of preferred stock held by the depositary, the depositary will redeem as of the same redemption date the number of depositary shares representing the shares of preferred stock so redeemed. If less than all of the depositary shares are to be redeemed, the depositary shares to be redeemed will be selected by lot or a substantially equivalent method determined by the depositary.</w:t>
      </w:r>
    </w:p>
    <w:p>
      <w:pPr>
        <w:spacing w:after="0" w:line="145" w:lineRule="exact"/>
        <w:rPr>
          <w:sz w:val="20"/>
          <w:szCs w:val="20"/>
          <w:color w:val="auto"/>
        </w:rPr>
      </w:pPr>
    </w:p>
    <w:p>
      <w:pPr>
        <w:ind w:left="1280" w:right="279"/>
        <w:spacing w:after="0" w:line="264" w:lineRule="auto"/>
        <w:rPr>
          <w:sz w:val="20"/>
          <w:szCs w:val="20"/>
          <w:color w:val="auto"/>
        </w:rPr>
      </w:pPr>
      <w:r>
        <w:rPr>
          <w:rFonts w:ascii="Times New Roman" w:cs="Times New Roman" w:eastAsia="Times New Roman" w:hAnsi="Times New Roman"/>
          <w:sz w:val="14"/>
          <w:szCs w:val="14"/>
          <w:color w:val="auto"/>
        </w:rPr>
        <w:t>After the date fixed for redemption, the depositary shares so called for redemption will no longer be deemed to be outstanding and all rights of the holders of the depositary shares will cease, except the right to receive the moneys payable upon redemption and any money or other property to which the holders of the depositary shares were entitled upon such redemption, upon surrender to the depositary of the depositary receipts evidencing the depositary shares. Any funds deposited by us with the depositary for any depositary shares that the holders thereof fail to redeem will be returned to us after a period of two years from the date the funds are so deposited.</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Voting the Underlying Preferred Stock</w:t>
      </w:r>
    </w:p>
    <w:p>
      <w:pPr>
        <w:spacing w:after="0" w:line="98" w:lineRule="exact"/>
        <w:rPr>
          <w:sz w:val="20"/>
          <w:szCs w:val="20"/>
          <w:color w:val="auto"/>
        </w:rPr>
      </w:pPr>
    </w:p>
    <w:p>
      <w:pPr>
        <w:ind w:left="1280" w:right="219"/>
        <w:spacing w:after="0" w:line="259" w:lineRule="auto"/>
        <w:rPr>
          <w:sz w:val="20"/>
          <w:szCs w:val="20"/>
          <w:color w:val="auto"/>
        </w:rPr>
      </w:pPr>
      <w:r>
        <w:rPr>
          <w:rFonts w:ascii="Times New Roman" w:cs="Times New Roman" w:eastAsia="Times New Roman" w:hAnsi="Times New Roman"/>
          <w:sz w:val="14"/>
          <w:szCs w:val="14"/>
          <w:color w:val="auto"/>
        </w:rPr>
        <w:t>Upon receipt of notice of any meeting at which the holders of any series of the preferred stock are entitled to vote, the depositary will mail the information contained in the notice of meeting to the record holders of the depositary shares relating to the series of preferred stock. Each record holder of the depositary shares on the record date (which will be the same date as the record date for the related series of preferred stock) will be entitled to instruct the depositary as to the exercise of the voting rights pertaining to the number of shares of the series of preferred stock represented by that holder’s depositary shares. The depositary will endeavor, insofar as practicable, to vote or cause to be voted the number of shares of preferred stock represented by the depositary shares in accordance with the instructions, provided the depositary receives the instructions sufficiently in advance of the meeting to enable it to so vote or cause to be voted the shares of preferred stock, and we will agree to take all reasonable action that may be deemed necessary by the depositary in order to enable the depositary to do so. The depositary will abstain from voting shares of the preferred stock to the extent it does not receive specific instructions from the holders of depositary shares representing the preferred stock.</w:t>
      </w:r>
    </w:p>
    <w:p>
      <w:pPr>
        <w:spacing w:after="0" w:line="2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Withdrawal of Stock</w:t>
      </w:r>
    </w:p>
    <w:p>
      <w:pPr>
        <w:spacing w:after="0" w:line="98" w:lineRule="exact"/>
        <w:rPr>
          <w:sz w:val="20"/>
          <w:szCs w:val="20"/>
          <w:color w:val="auto"/>
        </w:rPr>
      </w:pPr>
    </w:p>
    <w:p>
      <w:pPr>
        <w:ind w:left="1280" w:right="259"/>
        <w:spacing w:after="0" w:line="262" w:lineRule="auto"/>
        <w:rPr>
          <w:sz w:val="20"/>
          <w:szCs w:val="20"/>
          <w:color w:val="auto"/>
        </w:rPr>
      </w:pPr>
      <w:r>
        <w:rPr>
          <w:rFonts w:ascii="Times New Roman" w:cs="Times New Roman" w:eastAsia="Times New Roman" w:hAnsi="Times New Roman"/>
          <w:sz w:val="14"/>
          <w:szCs w:val="14"/>
          <w:color w:val="auto"/>
        </w:rPr>
        <w:t>Upon surrender of the depositary receipts at the corporate trust office of the depositary and upon payment of the taxes, charges and fees provided for in the deposit agreement and subject to the terms thereof, the holder of the depositary shares evidenced thereby is entitled to delivery at such office, to or upon such holder’s order of, the number of whole shares of the related series of preferred stock and any money or other property, if any, represented by the depositary shares. Holders of depositary shares will be entitled to receive whole shares of the related series of preferred stock, but holders of the whole shares of preferred stock will not thereafter be entitled to deposit the shares of preferred stock with the depositary or to receive depositary shares therefor. If the depositary receipts delivered by the holder evidence a number of depositary shares in excess of the number of</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91"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ind w:left="1280" w:right="459"/>
        <w:spacing w:after="0" w:line="291" w:lineRule="auto"/>
        <w:rPr>
          <w:sz w:val="20"/>
          <w:szCs w:val="20"/>
          <w:color w:val="auto"/>
        </w:rPr>
      </w:pPr>
      <w:r>
        <w:rPr>
          <w:rFonts w:ascii="Times New Roman" w:cs="Times New Roman" w:eastAsia="Times New Roman" w:hAnsi="Times New Roman"/>
          <w:sz w:val="14"/>
          <w:szCs w:val="14"/>
          <w:color w:val="auto"/>
        </w:rPr>
        <w:t>depositary shares representing the number of whole shares of the related series of preferred stock to be withdrawn, the depositary will deliver to the holder or upon such holder’s order at the same time a new depositary receipt evidencing the excess number of depositary shares.</w:t>
      </w:r>
    </w:p>
    <w:p>
      <w:pPr>
        <w:spacing w:after="0" w:line="2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Amendment and Termination of a Deposit Agreement</w:t>
      </w:r>
    </w:p>
    <w:p>
      <w:pPr>
        <w:spacing w:after="0" w:line="98" w:lineRule="exact"/>
        <w:rPr>
          <w:sz w:val="20"/>
          <w:szCs w:val="20"/>
          <w:color w:val="auto"/>
        </w:rPr>
      </w:pPr>
    </w:p>
    <w:p>
      <w:pPr>
        <w:ind w:left="1280" w:right="179"/>
        <w:spacing w:after="0" w:line="258" w:lineRule="auto"/>
        <w:rPr>
          <w:sz w:val="20"/>
          <w:szCs w:val="20"/>
          <w:color w:val="auto"/>
        </w:rPr>
      </w:pPr>
      <w:r>
        <w:rPr>
          <w:rFonts w:ascii="Times New Roman" w:cs="Times New Roman" w:eastAsia="Times New Roman" w:hAnsi="Times New Roman"/>
          <w:sz w:val="14"/>
          <w:szCs w:val="14"/>
          <w:color w:val="auto"/>
        </w:rPr>
        <w:t>The form of depositary receipt evidencing the depositary shares of any series and any provision of the applicable deposit agreement may at any time and from time to time be amended by agreement between us and the depositary. However, any amendment that materially adversely alters the rights of the holders of depositary shares of any series will not be effective unless the amendment has been approved by the holders of at least a majority of the depositary shares of the series then outstanding. Every holder of a depositary receipt at the time the amendment becomes effective will be deemed, by continuing to hold the depositary receipt, to be bound by the deposit agreement as so amended. Notwithstanding the foregoing, in no event may any amendment impair the right of any holder of any depositary shares, upon surrender of the depositary receipts evidencing the depositary shares and subject to any conditions specified in the deposit agreement, to receive shares of the related series of preferred stock and any money or other property represented thereby, except in order to comply with mandatory provisions of applicable law. The deposit agreement may be terminated by us at any time upon not less than 60 days prior written notice to the depositary, in which case, on a date that is not later than 30 days after the date of the notice, the depositary shall deliver or make available for delivery to holders of depositary shares, upon surrender of the depositary receipts evidencing the depositary shares, the number of whole or fractional shares of the related series of preferred stock as are represented by the depositary shares. The deposit agreement shall automatically terminate after all outstanding depositary shares have been redeemed or there has been a final distribution in respect of the related series of preferred stock in connection with any liquidation, dissolution or winding up of us and the distribution has been distributed to the holders of depositary shares.</w:t>
      </w:r>
    </w:p>
    <w:p>
      <w:pPr>
        <w:spacing w:after="0" w:line="2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Charges of Depositary</w:t>
      </w:r>
    </w:p>
    <w:p>
      <w:pPr>
        <w:spacing w:after="0" w:line="98" w:lineRule="exact"/>
        <w:rPr>
          <w:sz w:val="20"/>
          <w:szCs w:val="20"/>
          <w:color w:val="auto"/>
        </w:rPr>
      </w:pPr>
    </w:p>
    <w:p>
      <w:pPr>
        <w:ind w:left="1280" w:right="359"/>
        <w:spacing w:after="0" w:line="267" w:lineRule="auto"/>
        <w:rPr>
          <w:sz w:val="20"/>
          <w:szCs w:val="20"/>
          <w:color w:val="auto"/>
        </w:rPr>
      </w:pPr>
      <w:r>
        <w:rPr>
          <w:rFonts w:ascii="Times New Roman" w:cs="Times New Roman" w:eastAsia="Times New Roman" w:hAnsi="Times New Roman"/>
          <w:sz w:val="14"/>
          <w:szCs w:val="14"/>
          <w:color w:val="auto"/>
        </w:rPr>
        <w:t>We will pay all transfer and other taxes and governmental charges arising solely from the existence of the depositary arrangements. We will pay the charges of the depositary, including charges in connection with the initial deposit of the related series of preferred stock and the initial issuance of the depositary shares and all withdrawals of shares of the related series of preferred stock, except that holders of depositary shares will pay transfer and other taxes and governmental charges and any other charges as are expressly provided in the deposit agreement to be for their accounts.</w:t>
      </w: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Resignation and Removal of Depositary</w:t>
      </w:r>
    </w:p>
    <w:p>
      <w:pPr>
        <w:spacing w:after="0" w:line="98" w:lineRule="exact"/>
        <w:rPr>
          <w:sz w:val="20"/>
          <w:szCs w:val="20"/>
          <w:color w:val="auto"/>
        </w:rPr>
      </w:pPr>
    </w:p>
    <w:p>
      <w:pPr>
        <w:jc w:val="both"/>
        <w:ind w:left="1280" w:right="319"/>
        <w:spacing w:after="0" w:line="267" w:lineRule="auto"/>
        <w:rPr>
          <w:sz w:val="20"/>
          <w:szCs w:val="20"/>
          <w:color w:val="auto"/>
        </w:rPr>
      </w:pPr>
      <w:r>
        <w:rPr>
          <w:rFonts w:ascii="Times New Roman" w:cs="Times New Roman" w:eastAsia="Times New Roman" w:hAnsi="Times New Roman"/>
          <w:sz w:val="14"/>
          <w:szCs w:val="14"/>
          <w:color w:val="auto"/>
        </w:rPr>
        <w:t>The depositary may resign at any time by delivering to us written notice of its election to do so, and we may at any time remove the depositary. Any resignation or removal is to take effect upon the appointment of a successor depositary, which successor depositary must be appointed within 90 days after delivery of the notice of resignation or removal and must be a bank or trust company having its principal office in the United States and having a combined capital and surplus of at least $50,000,000.</w:t>
      </w: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98" w:lineRule="exact"/>
        <w:rPr>
          <w:sz w:val="20"/>
          <w:szCs w:val="20"/>
          <w:color w:val="auto"/>
        </w:rPr>
      </w:pPr>
    </w:p>
    <w:p>
      <w:pPr>
        <w:ind w:left="1280" w:right="139"/>
        <w:spacing w:after="0" w:line="291" w:lineRule="auto"/>
        <w:rPr>
          <w:sz w:val="20"/>
          <w:szCs w:val="20"/>
          <w:color w:val="auto"/>
        </w:rPr>
      </w:pPr>
      <w:r>
        <w:rPr>
          <w:rFonts w:ascii="Times New Roman" w:cs="Times New Roman" w:eastAsia="Times New Roman" w:hAnsi="Times New Roman"/>
          <w:sz w:val="14"/>
          <w:szCs w:val="14"/>
          <w:color w:val="auto"/>
        </w:rPr>
        <w:t>The depositary will forward to the holders of depositary shares all reports and communications from us that are delivered to the depositary and which we are required to furnish to the holders of the related preferred stock.</w:t>
      </w:r>
    </w:p>
    <w:p>
      <w:pPr>
        <w:spacing w:after="0" w:line="124" w:lineRule="exact"/>
        <w:rPr>
          <w:sz w:val="20"/>
          <w:szCs w:val="20"/>
          <w:color w:val="auto"/>
        </w:rPr>
      </w:pPr>
    </w:p>
    <w:p>
      <w:pPr>
        <w:ind w:left="1280" w:right="199"/>
        <w:spacing w:after="0" w:line="273" w:lineRule="auto"/>
        <w:rPr>
          <w:sz w:val="20"/>
          <w:szCs w:val="20"/>
          <w:color w:val="auto"/>
        </w:rPr>
      </w:pPr>
      <w:r>
        <w:rPr>
          <w:rFonts w:ascii="Times New Roman" w:cs="Times New Roman" w:eastAsia="Times New Roman" w:hAnsi="Times New Roman"/>
          <w:sz w:val="14"/>
          <w:szCs w:val="14"/>
          <w:color w:val="auto"/>
        </w:rPr>
        <w:t>The depositary’s corporate trust office will be identified in the applicable prospectus supplement. Unless otherwise set forth in the applicable prospectus supplement, the depositary will act as transfer agent and registrar for depositary receipts and if shares of a series of preferred stock are redeemable, the depositary will also act as redemption agent for the corresponding depositary receipts.</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91"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DESCRIPTION OF THE WARRANTS</w:t>
      </w:r>
    </w:p>
    <w:p>
      <w:pPr>
        <w:spacing w:after="0" w:line="184" w:lineRule="exact"/>
        <w:rPr>
          <w:sz w:val="20"/>
          <w:szCs w:val="20"/>
          <w:color w:val="auto"/>
        </w:rPr>
      </w:pPr>
    </w:p>
    <w:p>
      <w:pPr>
        <w:ind w:left="1280" w:right="159"/>
        <w:spacing w:after="0" w:line="260" w:lineRule="auto"/>
        <w:rPr>
          <w:sz w:val="20"/>
          <w:szCs w:val="20"/>
          <w:color w:val="auto"/>
        </w:rPr>
      </w:pPr>
      <w:r>
        <w:rPr>
          <w:rFonts w:ascii="Times New Roman" w:cs="Times New Roman" w:eastAsia="Times New Roman" w:hAnsi="Times New Roman"/>
          <w:sz w:val="14"/>
          <w:szCs w:val="14"/>
          <w:color w:val="auto"/>
        </w:rPr>
        <w:t>The following description of the terms of the warrants sets forth certain general terms and provisions of the warrants to which any prospectus supplement may relate. We may issue warrants for the purchase of debt securities, preferred stock or common stock. Warrants may be issued independently or together with debt securities, preferred stock or common stock offered by any prospectus supplement and may be attached to or separate from any such offered securities. Each series of warrants will be issued under a separate warrant agreement to be entered into between us and a bank or trust company, as warrant agent. The warrant agent will act solely as our agent in connection with the warrants and will not assume any obligation or relationship of agency or trust for or with any holders or beneficial owners of warrants. 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spacing w:after="0" w:line="2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Debt Warrants</w:t>
      </w:r>
    </w:p>
    <w:p>
      <w:pPr>
        <w:spacing w:after="0" w:line="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The prospectus supplement relating to a particular issue of debt warrants will describe the terms of such debt warrants, including the following:</w:t>
      </w:r>
    </w:p>
    <w:p>
      <w:pPr>
        <w:spacing w:after="0" w:line="107" w:lineRule="exact"/>
        <w:rPr>
          <w:sz w:val="20"/>
          <w:szCs w:val="20"/>
          <w:color w:val="auto"/>
        </w:rPr>
      </w:pPr>
    </w:p>
    <w:p>
      <w:pPr>
        <w:ind w:left="2040" w:hanging="337"/>
        <w:spacing w:after="0"/>
        <w:tabs>
          <w:tab w:leader="none" w:pos="2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such debt warrants;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for such debt warrants, if any;</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such debt warrants;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debt securities purchasable upon exercise of such debt warrants;</w:t>
      </w:r>
    </w:p>
    <w:p>
      <w:pPr>
        <w:spacing w:after="0" w:line="106" w:lineRule="exact"/>
        <w:rPr>
          <w:rFonts w:ascii="Times New Roman" w:cs="Times New Roman" w:eastAsia="Times New Roman" w:hAnsi="Times New Roman"/>
          <w:sz w:val="14"/>
          <w:szCs w:val="14"/>
          <w:color w:val="auto"/>
        </w:rPr>
      </w:pPr>
    </w:p>
    <w:p>
      <w:pPr>
        <w:ind w:left="2040" w:right="619" w:hanging="337"/>
        <w:spacing w:after="0" w:line="291" w:lineRule="auto"/>
        <w:tabs>
          <w:tab w:leader="none" w:pos="2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debt securities with which such debt warrants are issued and the number of such debt warrants issued with each such debt security;</w:t>
      </w:r>
    </w:p>
    <w:p>
      <w:pPr>
        <w:spacing w:after="0" w:line="48"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from and after which such debt warrants and any debt securities issued therewith will be separately transferable;</w:t>
      </w:r>
    </w:p>
    <w:p>
      <w:pPr>
        <w:spacing w:after="0" w:line="106" w:lineRule="exact"/>
        <w:rPr>
          <w:rFonts w:ascii="Times New Roman" w:cs="Times New Roman" w:eastAsia="Times New Roman" w:hAnsi="Times New Roman"/>
          <w:sz w:val="14"/>
          <w:szCs w:val="14"/>
          <w:color w:val="auto"/>
        </w:rPr>
      </w:pPr>
    </w:p>
    <w:p>
      <w:pPr>
        <w:ind w:left="2040" w:right="339" w:hanging="337"/>
        <w:spacing w:after="0" w:line="291" w:lineRule="auto"/>
        <w:tabs>
          <w:tab w:leader="none" w:pos="2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debt securities purchasable upon exercise of a debt warrant and the price at which such principal amount of debt securities may be purchased upon exercise (which price may be payable in cash, securities or other property);</w:t>
      </w:r>
    </w:p>
    <w:p>
      <w:pPr>
        <w:spacing w:after="0" w:line="48"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such debt warrants shall commence and the date on which such right shall expire;</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such debt warrants that may be exercised at any one time;</w:t>
      </w:r>
    </w:p>
    <w:p>
      <w:pPr>
        <w:spacing w:after="0" w:line="106" w:lineRule="exact"/>
        <w:rPr>
          <w:rFonts w:ascii="Times New Roman" w:cs="Times New Roman" w:eastAsia="Times New Roman" w:hAnsi="Times New Roman"/>
          <w:sz w:val="14"/>
          <w:szCs w:val="14"/>
          <w:color w:val="auto"/>
        </w:rPr>
      </w:pPr>
    </w:p>
    <w:p>
      <w:pPr>
        <w:ind w:left="2040" w:right="559" w:hanging="337"/>
        <w:spacing w:after="0" w:line="291" w:lineRule="auto"/>
        <w:tabs>
          <w:tab w:leader="none" w:pos="2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warrants represented by the debt warrant certificates or debt securities that may be issued upon exercise of the debt warrants will be issued in registered or bearer form;</w:t>
      </w:r>
    </w:p>
    <w:p>
      <w:pPr>
        <w:spacing w:after="0" w:line="48"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units in which the offering price, if any, and the exercise price are payable;</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material United States federal income tax considerations;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anti-dilution or adjustment provisions of such debt warrants, if any;</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or call provisions, if any, applicable to such debt warrants; and</w:t>
      </w:r>
    </w:p>
    <w:p>
      <w:pPr>
        <w:spacing w:after="0" w:line="106" w:lineRule="exact"/>
        <w:rPr>
          <w:rFonts w:ascii="Times New Roman" w:cs="Times New Roman" w:eastAsia="Times New Roman" w:hAnsi="Times New Roman"/>
          <w:sz w:val="14"/>
          <w:szCs w:val="14"/>
          <w:color w:val="auto"/>
        </w:rPr>
      </w:pPr>
    </w:p>
    <w:p>
      <w:pPr>
        <w:ind w:left="2040" w:right="219" w:hanging="337"/>
        <w:spacing w:after="0" w:line="291" w:lineRule="auto"/>
        <w:tabs>
          <w:tab w:leader="none" w:pos="2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such debt warrants, including terms, procedures, and limitations relating to the exchange and exercise of such debt warrants.</w:t>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91"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Stock Warrants</w:t>
      </w:r>
    </w:p>
    <w:p>
      <w:pPr>
        <w:spacing w:after="0" w:line="98" w:lineRule="exact"/>
        <w:rPr>
          <w:sz w:val="20"/>
          <w:szCs w:val="20"/>
          <w:color w:val="auto"/>
        </w:rPr>
      </w:pPr>
    </w:p>
    <w:p>
      <w:pPr>
        <w:ind w:left="1280" w:right="639"/>
        <w:spacing w:after="0" w:line="291" w:lineRule="auto"/>
        <w:rPr>
          <w:sz w:val="20"/>
          <w:szCs w:val="20"/>
          <w:color w:val="auto"/>
        </w:rPr>
      </w:pPr>
      <w:r>
        <w:rPr>
          <w:rFonts w:ascii="Times New Roman" w:cs="Times New Roman" w:eastAsia="Times New Roman" w:hAnsi="Times New Roman"/>
          <w:sz w:val="14"/>
          <w:szCs w:val="14"/>
          <w:color w:val="auto"/>
        </w:rPr>
        <w:t>The prospectus supplement relating to any particular issue of preferred stock warrants or common stock warrants will describe the terms of such warrants, including the following:</w:t>
      </w:r>
    </w:p>
    <w:p>
      <w:pPr>
        <w:spacing w:after="0" w:line="49" w:lineRule="exact"/>
        <w:rPr>
          <w:sz w:val="20"/>
          <w:szCs w:val="20"/>
          <w:color w:val="auto"/>
        </w:rPr>
      </w:pPr>
    </w:p>
    <w:p>
      <w:pPr>
        <w:ind w:left="2040" w:hanging="337"/>
        <w:spacing w:after="0"/>
        <w:tabs>
          <w:tab w:leader="none" w:pos="2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such warrants;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for such warrants, if any;</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such warrants;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preferred stock purchasable upon exercise of such warrants;</w:t>
      </w:r>
    </w:p>
    <w:p>
      <w:pPr>
        <w:spacing w:after="0" w:line="106" w:lineRule="exact"/>
        <w:rPr>
          <w:rFonts w:ascii="Times New Roman" w:cs="Times New Roman" w:eastAsia="Times New Roman" w:hAnsi="Times New Roman"/>
          <w:sz w:val="14"/>
          <w:szCs w:val="14"/>
          <w:color w:val="auto"/>
        </w:rPr>
      </w:pPr>
    </w:p>
    <w:p>
      <w:pPr>
        <w:ind w:left="2040" w:right="479" w:hanging="337"/>
        <w:spacing w:after="0" w:line="291" w:lineRule="auto"/>
        <w:tabs>
          <w:tab w:leader="none" w:pos="2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offered securities with which such warrants are issued and the number of such warrants issued with each such offered security;</w:t>
      </w:r>
    </w:p>
    <w:p>
      <w:pPr>
        <w:spacing w:after="0" w:line="48"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from and after which such warrants and any offered securities issued therewith will be separately transferable;</w:t>
      </w:r>
    </w:p>
    <w:p>
      <w:pPr>
        <w:spacing w:after="0" w:line="106" w:lineRule="exact"/>
        <w:rPr>
          <w:rFonts w:ascii="Times New Roman" w:cs="Times New Roman" w:eastAsia="Times New Roman" w:hAnsi="Times New Roman"/>
          <w:sz w:val="14"/>
          <w:szCs w:val="14"/>
          <w:color w:val="auto"/>
        </w:rPr>
      </w:pPr>
    </w:p>
    <w:p>
      <w:pPr>
        <w:ind w:left="2040" w:right="319" w:hanging="337"/>
        <w:spacing w:after="0" w:line="291" w:lineRule="auto"/>
        <w:tabs>
          <w:tab w:leader="none" w:pos="2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or preferred stock purchasable upon exercise of a warrant and the price at which such shares may be purchased upon exercise;</w:t>
      </w:r>
    </w:p>
    <w:p>
      <w:pPr>
        <w:spacing w:after="0" w:line="48"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such warrants shall commence and the date on which such right shall expire;</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such warrants that may be exercised at any one time;</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units in which the offering price, if any, and the exercise price are payable;</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material United States federal income tax considerations;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anti-dilution provisions of such warrants, if any;</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or call provisions, if any, applicable to such warrants; and</w:t>
      </w:r>
    </w:p>
    <w:p>
      <w:pPr>
        <w:spacing w:after="0" w:line="106" w:lineRule="exact"/>
        <w:rPr>
          <w:rFonts w:ascii="Times New Roman" w:cs="Times New Roman" w:eastAsia="Times New Roman" w:hAnsi="Times New Roman"/>
          <w:sz w:val="14"/>
          <w:szCs w:val="14"/>
          <w:color w:val="auto"/>
        </w:rPr>
      </w:pPr>
    </w:p>
    <w:p>
      <w:pPr>
        <w:ind w:left="5580" w:right="259" w:hanging="3877"/>
        <w:spacing w:after="0" w:line="467" w:lineRule="auto"/>
        <w:tabs>
          <w:tab w:leader="none" w:pos="2053"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such warrants, including terms, procedures and limitations relating to the exchange and exercise of such warrants. 21</w:t>
      </w:r>
    </w:p>
    <w:p>
      <w:pPr>
        <w:sectPr>
          <w:pgSz w:w="11900" w:h="16838" w:orient="portrait"/>
          <w:cols w:equalWidth="0" w:num="1">
            <w:col w:w="10159"/>
          </w:cols>
          <w:pgMar w:left="300" w:top="391"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DESCRIPTION OF THE PURCHASE CONTRACTS</w:t>
      </w:r>
    </w:p>
    <w:p>
      <w:pPr>
        <w:spacing w:after="0" w:line="184" w:lineRule="exact"/>
        <w:rPr>
          <w:sz w:val="20"/>
          <w:szCs w:val="20"/>
          <w:color w:val="auto"/>
        </w:rPr>
      </w:pPr>
    </w:p>
    <w:p>
      <w:pPr>
        <w:ind w:left="1280" w:right="159"/>
        <w:spacing w:after="0" w:line="260" w:lineRule="auto"/>
        <w:rPr>
          <w:sz w:val="20"/>
          <w:szCs w:val="20"/>
          <w:color w:val="auto"/>
        </w:rPr>
      </w:pPr>
      <w:r>
        <w:rPr>
          <w:rFonts w:ascii="Times New Roman" w:cs="Times New Roman" w:eastAsia="Times New Roman" w:hAnsi="Times New Roman"/>
          <w:sz w:val="14"/>
          <w:szCs w:val="14"/>
          <w:color w:val="auto"/>
        </w:rPr>
        <w:t>We may issue, from time to time, purchase contracts, including contracts obligating holders to purchase from us and obligating us to deliver to the holders, a specified principal amount of debt securities, or a specified number of shares of common stock or preferred stock or any of the other securities that we may sell under this prospectus at a future date or dates. We intend to physically settle such purchase contracts by delivering the agreed principal amount or number of securities, as applicable, upon settlement. The consideration payable upon settlement of the purchase contracts may be fixed at the time the purchase contracts are issued or may be determined by a specific reference to a formula set forth in the purchase contracts. The purchase contracts may be issued separately or as part of units consisting of a purchase contract and other securities or obligations issued by us. The purchase contracts may require us to make periodic payments to the holders of the purchase contracts or units or vice versa, and the payments may be unsecured or prefunded on some basis. The purchase contracts may require holders to secure their obligations under the purchase contracts.</w:t>
      </w:r>
    </w:p>
    <w:p>
      <w:pPr>
        <w:spacing w:after="0" w:line="147" w:lineRule="exact"/>
        <w:rPr>
          <w:sz w:val="20"/>
          <w:szCs w:val="20"/>
          <w:color w:val="auto"/>
        </w:rPr>
      </w:pPr>
    </w:p>
    <w:p>
      <w:pPr>
        <w:ind w:left="1280" w:right="179"/>
        <w:spacing w:after="0" w:line="264" w:lineRule="auto"/>
        <w:rPr>
          <w:sz w:val="20"/>
          <w:szCs w:val="20"/>
          <w:color w:val="auto"/>
        </w:rPr>
      </w:pPr>
      <w:r>
        <w:rPr>
          <w:rFonts w:ascii="Times New Roman" w:cs="Times New Roman" w:eastAsia="Times New Roman" w:hAnsi="Times New Roman"/>
          <w:sz w:val="14"/>
          <w:szCs w:val="14"/>
          <w:color w:val="auto"/>
        </w:rPr>
        <w:t>The prospectus supplement related to any particular purchase contracts will describe, among other things, the material terms of the purchase contracts and of the securities being sold pursuant to such purchase contracts, and a discussion, if appropriate, of any material United States federal income tax considerations applicable to the purchase contracts and any material provisions governing the purchase contracts that differ from those described above. The description in the prospectus supplement will not necessarily be complete and will be qualified in its entirety by reference to the purchase contracts, and, if applicable, collateral arrangements and depositary arrangements, relating to the purchase contracts.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91"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THE UNITS</w:t>
      </w:r>
    </w:p>
    <w:p>
      <w:pPr>
        <w:spacing w:after="0" w:line="184" w:lineRule="exact"/>
        <w:rPr>
          <w:sz w:val="20"/>
          <w:szCs w:val="20"/>
          <w:color w:val="auto"/>
        </w:rPr>
      </w:pPr>
    </w:p>
    <w:p>
      <w:pPr>
        <w:ind w:left="1280" w:right="259"/>
        <w:spacing w:after="0" w:line="267" w:lineRule="auto"/>
        <w:rPr>
          <w:sz w:val="20"/>
          <w:szCs w:val="20"/>
          <w:color w:val="auto"/>
        </w:rPr>
      </w:pPr>
      <w:r>
        <w:rPr>
          <w:rFonts w:ascii="Times New Roman" w:cs="Times New Roman" w:eastAsia="Times New Roman" w:hAnsi="Times New Roman"/>
          <w:sz w:val="14"/>
          <w:szCs w:val="14"/>
          <w:color w:val="auto"/>
        </w:rPr>
        <w:t>We may, from time to time, issue units comprised of one or more of the other securities that may be offered under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Any prospectus supplement related to any particular units will describe, among other things:</w:t>
      </w:r>
    </w:p>
    <w:p>
      <w:pPr>
        <w:spacing w:after="0" w:line="107" w:lineRule="exact"/>
        <w:rPr>
          <w:sz w:val="20"/>
          <w:szCs w:val="20"/>
          <w:color w:val="auto"/>
        </w:rPr>
      </w:pPr>
    </w:p>
    <w:p>
      <w:pPr>
        <w:ind w:left="2040" w:right="239" w:hanging="337"/>
        <w:spacing w:after="0" w:line="291" w:lineRule="auto"/>
        <w:tabs>
          <w:tab w:leader="none" w:pos="20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material terms of the units and of the securities comprising the units, including whether and under what circumstances those securities may be held or transferred separately;</w:t>
      </w:r>
    </w:p>
    <w:p>
      <w:pPr>
        <w:spacing w:after="0" w:line="48" w:lineRule="exact"/>
        <w:rPr>
          <w:rFonts w:ascii="Times New Roman" w:cs="Times New Roman" w:eastAsia="Times New Roman" w:hAnsi="Times New Roman"/>
          <w:sz w:val="14"/>
          <w:szCs w:val="14"/>
          <w:color w:val="auto"/>
        </w:rPr>
      </w:pPr>
    </w:p>
    <w:p>
      <w:pPr>
        <w:ind w:left="2040" w:right="299" w:hanging="337"/>
        <w:spacing w:after="0" w:line="291" w:lineRule="auto"/>
        <w:tabs>
          <w:tab w:leader="none" w:pos="20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provisions relating to the issuance, payment, settlement, transfer or exchange of the units or of the securities comprising the units;</w:t>
      </w:r>
    </w:p>
    <w:p>
      <w:pPr>
        <w:spacing w:after="0" w:line="48"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appropriate, any special United States federal income tax considerations applicable to the units; and</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provisions of the governing unit agreement that differ from those described above.</w:t>
      </w:r>
    </w:p>
    <w:p>
      <w:pPr>
        <w:spacing w:after="0" w:line="1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91"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We or selling stockholders may offer and sell the securities in any one or more of the following ways:</w:t>
      </w:r>
    </w:p>
    <w:p>
      <w:pPr>
        <w:spacing w:after="0" w:line="107" w:lineRule="exact"/>
        <w:rPr>
          <w:sz w:val="20"/>
          <w:szCs w:val="20"/>
          <w:color w:val="auto"/>
        </w:rPr>
      </w:pPr>
    </w:p>
    <w:p>
      <w:pPr>
        <w:ind w:left="2040" w:hanging="337"/>
        <w:spacing w:after="0"/>
        <w:tabs>
          <w:tab w:leader="none" w:pos="20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underwriters, brokers or dealers;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one or more other purchasers;</w:t>
      </w:r>
    </w:p>
    <w:p>
      <w:pPr>
        <w:spacing w:after="0" w:line="106" w:lineRule="exact"/>
        <w:rPr>
          <w:rFonts w:ascii="Times New Roman" w:cs="Times New Roman" w:eastAsia="Times New Roman" w:hAnsi="Times New Roman"/>
          <w:sz w:val="14"/>
          <w:szCs w:val="14"/>
          <w:color w:val="auto"/>
        </w:rPr>
      </w:pPr>
    </w:p>
    <w:p>
      <w:pPr>
        <w:ind w:left="2040" w:right="319" w:hanging="337"/>
        <w:spacing w:after="0" w:line="291" w:lineRule="auto"/>
        <w:tabs>
          <w:tab w:leader="none" w:pos="20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48"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 on a best-efforts basis; or</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through a combination of any of the above methods of sale.</w:t>
      </w:r>
    </w:p>
    <w:p>
      <w:pPr>
        <w:spacing w:after="0" w:line="182" w:lineRule="exact"/>
        <w:rPr>
          <w:sz w:val="20"/>
          <w:szCs w:val="20"/>
          <w:color w:val="auto"/>
        </w:rPr>
      </w:pPr>
    </w:p>
    <w:p>
      <w:pPr>
        <w:ind w:left="1280" w:right="219"/>
        <w:spacing w:after="0" w:line="267" w:lineRule="auto"/>
        <w:rPr>
          <w:sz w:val="20"/>
          <w:szCs w:val="20"/>
          <w:color w:val="auto"/>
        </w:rPr>
      </w:pPr>
      <w:r>
        <w:rPr>
          <w:rFonts w:ascii="Times New Roman" w:cs="Times New Roman" w:eastAsia="Times New Roman" w:hAnsi="Times New Roman"/>
          <w:sz w:val="14"/>
          <w:szCs w:val="14"/>
          <w:color w:val="auto"/>
        </w:rPr>
        <w:t>In addition, we or selling stockholders may enter into option, share lending or other types of transactions that require us or such selling stockholders, as applicable, to deliver shares of common stock to an underwriter, broker or dealer, who will then resell or transfer the shares of common stock under this prospectus. We or selling stockholders may also enter into hedging transactions with respect to our securities or the securities of such selling stockholders, as applicable. For example, we or selling stockholders may:</w:t>
      </w:r>
    </w:p>
    <w:p>
      <w:pPr>
        <w:spacing w:after="0" w:line="65" w:lineRule="exact"/>
        <w:rPr>
          <w:sz w:val="20"/>
          <w:szCs w:val="20"/>
          <w:color w:val="auto"/>
        </w:rPr>
      </w:pPr>
    </w:p>
    <w:p>
      <w:pPr>
        <w:ind w:left="2040" w:hanging="337"/>
        <w:spacing w:after="0"/>
        <w:tabs>
          <w:tab w:leader="none" w:pos="20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transactions involving short sales of the shares of common stock by underwriters, brokers or dealers;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shares of common stock short and deliver the shares to close out short positions;</w:t>
      </w:r>
    </w:p>
    <w:p>
      <w:pPr>
        <w:spacing w:after="0" w:line="106" w:lineRule="exact"/>
        <w:rPr>
          <w:rFonts w:ascii="Times New Roman" w:cs="Times New Roman" w:eastAsia="Times New Roman" w:hAnsi="Times New Roman"/>
          <w:sz w:val="14"/>
          <w:szCs w:val="14"/>
          <w:color w:val="auto"/>
        </w:rPr>
      </w:pPr>
    </w:p>
    <w:p>
      <w:pPr>
        <w:ind w:left="2040" w:right="299" w:hanging="337"/>
        <w:spacing w:after="0" w:line="291" w:lineRule="auto"/>
        <w:tabs>
          <w:tab w:leader="none" w:pos="20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option or other types of transactions that require us or selling stockholders, as applicable, to deliver shares of common stock to an underwriter, broker or dealer, who will then resell or transfer the shares of common stock under this prospectus; or</w:t>
      </w:r>
    </w:p>
    <w:p>
      <w:pPr>
        <w:spacing w:after="0" w:line="48" w:lineRule="exact"/>
        <w:rPr>
          <w:rFonts w:ascii="Times New Roman" w:cs="Times New Roman" w:eastAsia="Times New Roman" w:hAnsi="Times New Roman"/>
          <w:sz w:val="14"/>
          <w:szCs w:val="14"/>
          <w:color w:val="auto"/>
        </w:rPr>
      </w:pPr>
    </w:p>
    <w:p>
      <w:pPr>
        <w:ind w:left="2040" w:right="319" w:hanging="337"/>
        <w:spacing w:after="0" w:line="291" w:lineRule="auto"/>
        <w:tabs>
          <w:tab w:leader="none" w:pos="20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or pledge the shares of common stock to an underwriter, broker or dealer, who may sell the loaned shares or, in the event of default, sell the pledged shares.</w:t>
      </w:r>
    </w:p>
    <w:p>
      <w:pPr>
        <w:spacing w:after="0" w:line="124" w:lineRule="exact"/>
        <w:rPr>
          <w:sz w:val="20"/>
          <w:szCs w:val="20"/>
          <w:color w:val="auto"/>
        </w:rPr>
      </w:pPr>
    </w:p>
    <w:p>
      <w:pPr>
        <w:ind w:left="1280" w:right="319"/>
        <w:spacing w:after="0" w:line="291" w:lineRule="auto"/>
        <w:rPr>
          <w:sz w:val="20"/>
          <w:szCs w:val="20"/>
          <w:color w:val="auto"/>
        </w:rPr>
      </w:pPr>
      <w:r>
        <w:rPr>
          <w:rFonts w:ascii="Times New Roman" w:cs="Times New Roman" w:eastAsia="Times New Roman" w:hAnsi="Times New Roman"/>
          <w:sz w:val="14"/>
          <w:szCs w:val="14"/>
          <w:color w:val="auto"/>
        </w:rPr>
        <w:t>Any selling stockholder will act independently of us in making decisions with respect to the timing manner and size of each sale of shares of common stock covered by this prospectus.</w:t>
      </w:r>
    </w:p>
    <w:p>
      <w:pPr>
        <w:spacing w:after="0" w:line="124" w:lineRule="exact"/>
        <w:rPr>
          <w:sz w:val="20"/>
          <w:szCs w:val="20"/>
          <w:color w:val="auto"/>
        </w:rPr>
      </w:pPr>
    </w:p>
    <w:p>
      <w:pPr>
        <w:ind w:left="1280" w:right="159"/>
        <w:spacing w:after="0" w:line="259" w:lineRule="auto"/>
        <w:rPr>
          <w:sz w:val="20"/>
          <w:szCs w:val="20"/>
          <w:color w:val="auto"/>
        </w:rPr>
      </w:pPr>
      <w:r>
        <w:rPr>
          <w:rFonts w:ascii="Times New Roman" w:cs="Times New Roman" w:eastAsia="Times New Roman" w:hAnsi="Times New Roman"/>
          <w:sz w:val="14"/>
          <w:szCs w:val="14"/>
          <w:color w:val="auto"/>
        </w:rPr>
        <w:t>We or selling stockholders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such selling stockholders, as applicable, or borrowed from us, such selling stockholders or others to settle those sales or to close out any related open borrowings of stock, and may use securities received from us or such selling stockholders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we or selling stockholders may otherwise loan or pledge securities to a financial institution or other third party that in turn may sell the securities short using this prospectus. Such financial institution or other third party may transfer its economic short position to investors in our securities or the securities of such selling stockholders, as applicable, or in connection with a concurrent offering of other securities.</w:t>
      </w:r>
    </w:p>
    <w:p>
      <w:pPr>
        <w:spacing w:after="0" w:line="147" w:lineRule="exact"/>
        <w:rPr>
          <w:sz w:val="20"/>
          <w:szCs w:val="20"/>
          <w:color w:val="auto"/>
        </w:rPr>
      </w:pPr>
    </w:p>
    <w:p>
      <w:pPr>
        <w:ind w:left="1280" w:right="799"/>
        <w:spacing w:after="0" w:line="291" w:lineRule="auto"/>
        <w:rPr>
          <w:sz w:val="20"/>
          <w:szCs w:val="20"/>
          <w:color w:val="auto"/>
        </w:rPr>
      </w:pPr>
      <w:r>
        <w:rPr>
          <w:rFonts w:ascii="Times New Roman" w:cs="Times New Roman" w:eastAsia="Times New Roman" w:hAnsi="Times New Roman"/>
          <w:sz w:val="14"/>
          <w:szCs w:val="14"/>
          <w:color w:val="auto"/>
        </w:rPr>
        <w:t>Shares of common stock may also be exchanged for satisfaction of selling stockholders’ obligations or other liabilities to their creditors. Such transactions may or may not involve brokers or dealers.</w:t>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91"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ind w:left="1280" w:right="419"/>
        <w:spacing w:after="0" w:line="291" w:lineRule="auto"/>
        <w:rPr>
          <w:sz w:val="20"/>
          <w:szCs w:val="20"/>
          <w:color w:val="auto"/>
        </w:rPr>
      </w:pPr>
      <w:r>
        <w:rPr>
          <w:rFonts w:ascii="Times New Roman" w:cs="Times New Roman" w:eastAsia="Times New Roman" w:hAnsi="Times New Roman"/>
          <w:sz w:val="14"/>
          <w:szCs w:val="14"/>
          <w:color w:val="auto"/>
        </w:rPr>
        <w:t>Each time we or selling stockholders sell securities, we or selling stockholders will provide a prospectus supplement that will name any underwriter, dealer or agent involved in the offer and sale of the securities. The prospectus supplement will also set forth the terms of the offering, including:</w:t>
      </w:r>
    </w:p>
    <w:p>
      <w:pPr>
        <w:spacing w:after="0" w:line="49" w:lineRule="exact"/>
        <w:rPr>
          <w:sz w:val="20"/>
          <w:szCs w:val="20"/>
          <w:color w:val="auto"/>
        </w:rPr>
      </w:pPr>
    </w:p>
    <w:p>
      <w:pPr>
        <w:ind w:left="2040" w:hanging="337"/>
        <w:spacing w:after="0"/>
        <w:tabs>
          <w:tab w:leader="none" w:pos="2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 and the proceeds we and/or such selling stockholders will receive from the sale of the securities;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and other items constituting underwriters’ compensation;</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public offering or purchase price and any discounts or commissions allowed or re-allowed or paid to dealers;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commissions allowed or paid to agents;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exchanges on which the securities may be listed;</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method of distribution of the securities;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agreement, arrangement or understanding entered into with the underwriters, brokers or dealers; and</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information we think is important.</w:t>
      </w:r>
    </w:p>
    <w:p>
      <w:pPr>
        <w:spacing w:after="0" w:line="182" w:lineRule="exact"/>
        <w:rPr>
          <w:sz w:val="20"/>
          <w:szCs w:val="20"/>
          <w:color w:val="auto"/>
        </w:rPr>
      </w:pPr>
    </w:p>
    <w:p>
      <w:pPr>
        <w:ind w:left="1280" w:right="219"/>
        <w:spacing w:after="0" w:line="291" w:lineRule="auto"/>
        <w:rPr>
          <w:sz w:val="20"/>
          <w:szCs w:val="20"/>
          <w:color w:val="auto"/>
        </w:rPr>
      </w:pPr>
      <w:r>
        <w:rPr>
          <w:rFonts w:ascii="Times New Roman" w:cs="Times New Roman" w:eastAsia="Times New Roman" w:hAnsi="Times New Roman"/>
          <w:sz w:val="14"/>
          <w:szCs w:val="14"/>
          <w:color w:val="auto"/>
        </w:rPr>
        <w:t>If underwriters or dealers are used in the sale, the securities will be acquired by the underwriters or dealers for their own account. The securities may be sold from time to time by us or selling stockholders in one or more transactions:</w:t>
      </w:r>
    </w:p>
    <w:p>
      <w:pPr>
        <w:spacing w:after="0" w:line="49" w:lineRule="exact"/>
        <w:rPr>
          <w:sz w:val="20"/>
          <w:szCs w:val="20"/>
          <w:color w:val="auto"/>
        </w:rPr>
      </w:pPr>
    </w:p>
    <w:p>
      <w:pPr>
        <w:ind w:left="2040" w:hanging="337"/>
        <w:spacing w:after="0"/>
        <w:tabs>
          <w:tab w:leader="none" w:pos="20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varying prices determined at the time of sale; or</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Such sales may be effected:</w:t>
      </w:r>
    </w:p>
    <w:p>
      <w:pPr>
        <w:spacing w:after="0" w:line="107" w:lineRule="exact"/>
        <w:rPr>
          <w:sz w:val="20"/>
          <w:szCs w:val="20"/>
          <w:color w:val="auto"/>
        </w:rPr>
      </w:pPr>
    </w:p>
    <w:p>
      <w:pPr>
        <w:ind w:left="2040" w:hanging="337"/>
        <w:spacing w:after="0"/>
        <w:tabs>
          <w:tab w:leader="none" w:pos="20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transactions on any national securities exchange or quotation service on which the securities may be listed or quoted at the time of sale;</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transactions in the over-the-counter market;</w:t>
      </w:r>
    </w:p>
    <w:p>
      <w:pPr>
        <w:spacing w:after="0" w:line="106" w:lineRule="exact"/>
        <w:rPr>
          <w:rFonts w:ascii="Times New Roman" w:cs="Times New Roman" w:eastAsia="Times New Roman" w:hAnsi="Times New Roman"/>
          <w:sz w:val="14"/>
          <w:szCs w:val="14"/>
          <w:color w:val="auto"/>
        </w:rPr>
      </w:pPr>
    </w:p>
    <w:p>
      <w:pPr>
        <w:ind w:left="2040" w:right="359" w:hanging="337"/>
        <w:spacing w:after="0" w:line="273" w:lineRule="auto"/>
        <w:tabs>
          <w:tab w:leader="none" w:pos="20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spacing w:after="0" w:line="61"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of options; or</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other types of transactions.</w:t>
      </w:r>
    </w:p>
    <w:p>
      <w:pPr>
        <w:spacing w:after="0" w:line="182" w:lineRule="exact"/>
        <w:rPr>
          <w:sz w:val="20"/>
          <w:szCs w:val="20"/>
          <w:color w:val="auto"/>
        </w:rPr>
      </w:pPr>
    </w:p>
    <w:p>
      <w:pPr>
        <w:ind w:left="1280" w:right="199"/>
        <w:spacing w:after="0" w:line="264" w:lineRule="auto"/>
        <w:rPr>
          <w:sz w:val="20"/>
          <w:szCs w:val="20"/>
          <w:color w:val="auto"/>
        </w:rPr>
      </w:pPr>
      <w:r>
        <w:rPr>
          <w:rFonts w:ascii="Times New Roman" w:cs="Times New Roman" w:eastAsia="Times New Roman" w:hAnsi="Times New Roman"/>
          <w:sz w:val="14"/>
          <w:szCs w:val="14"/>
          <w:color w:val="auto"/>
        </w:rPr>
        <w:t>The securities may be offered to the public either through underwriting syndicates represented by one or more managing underwriters or directly by one or more of such firms. Unless otherwise set forth in the prospectus supplement, the obligations of underwriters or dealers to purchase the securities offered will be subject to certain conditions precedent and the underwriters or dealers will be obligated to purchase all the offered securities if any are purchased. Any public offering price and any discount or concession allowed or re-allowed or paid by underwriters or dealers to other dealers may be changed from time to time.</w:t>
      </w:r>
    </w:p>
    <w:p>
      <w:pPr>
        <w:spacing w:after="0" w:line="143" w:lineRule="exact"/>
        <w:rPr>
          <w:sz w:val="20"/>
          <w:szCs w:val="20"/>
          <w:color w:val="auto"/>
        </w:rPr>
      </w:pPr>
    </w:p>
    <w:p>
      <w:pPr>
        <w:ind w:left="1280" w:right="359"/>
        <w:spacing w:after="0" w:line="291" w:lineRule="auto"/>
        <w:rPr>
          <w:sz w:val="20"/>
          <w:szCs w:val="20"/>
          <w:color w:val="auto"/>
        </w:rPr>
      </w:pPr>
      <w:r>
        <w:rPr>
          <w:rFonts w:ascii="Times New Roman" w:cs="Times New Roman" w:eastAsia="Times New Roman" w:hAnsi="Times New Roman"/>
          <w:sz w:val="14"/>
          <w:szCs w:val="14"/>
          <w:color w:val="auto"/>
        </w:rPr>
        <w:t>The selling stockholders might not sell any securities under this prospectus. In addition, any securities covered by this prospectus that qualify for sale pursuant to Rule 144 under the Securities Act may be sold under Rule 144 rather than pursuant to this prospectus.</w:t>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91"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ind w:left="1280" w:right="299"/>
        <w:spacing w:after="0" w:line="267" w:lineRule="auto"/>
        <w:rPr>
          <w:sz w:val="20"/>
          <w:szCs w:val="20"/>
          <w:color w:val="auto"/>
        </w:rPr>
      </w:pPr>
      <w:r>
        <w:rPr>
          <w:rFonts w:ascii="Times New Roman" w:cs="Times New Roman" w:eastAsia="Times New Roman" w:hAnsi="Times New Roman"/>
          <w:sz w:val="14"/>
          <w:szCs w:val="14"/>
          <w:color w:val="auto"/>
        </w:rPr>
        <w:t>The securities may be sold directly by us or selling stockholders, or through agents designated by us or such selling stockholders, as applicable, from time to time. Any agent involved in the offer or sale of the securities in respect of which this prospectus is delivered will be named, and any commissions payable by us or such selling stockholders, as applicable, to such agent will be set forth in, the applicable prospectus supplement. Unless otherwise indicated in the applicable prospectus supplement, any such agent will be acting on a best efforts basis for the period of its appointment.</w:t>
      </w:r>
    </w:p>
    <w:p>
      <w:pPr>
        <w:spacing w:after="0" w:line="140" w:lineRule="exact"/>
        <w:rPr>
          <w:sz w:val="20"/>
          <w:szCs w:val="20"/>
          <w:color w:val="auto"/>
        </w:rPr>
      </w:pPr>
    </w:p>
    <w:p>
      <w:pPr>
        <w:ind w:left="1280" w:right="179"/>
        <w:spacing w:after="0" w:line="273" w:lineRule="auto"/>
        <w:rPr>
          <w:sz w:val="20"/>
          <w:szCs w:val="20"/>
          <w:color w:val="auto"/>
        </w:rPr>
      </w:pPr>
      <w:r>
        <w:rPr>
          <w:rFonts w:ascii="Times New Roman" w:cs="Times New Roman" w:eastAsia="Times New Roman" w:hAnsi="Times New Roman"/>
          <w:sz w:val="14"/>
          <w:szCs w:val="14"/>
          <w:color w:val="auto"/>
        </w:rPr>
        <w:t>Offers to purchase the securities offered by this prospectus may be solicited, and sales of the securities may be made, by us or by selling stockholders directly to institutional investors or others, who may be deemed to be underwriters within the meaning of the Securities Act with respect to any resale of the securities. The terms of any offer made in this manner will be included in the prospectus supplement relating to the offer.</w:t>
      </w:r>
    </w:p>
    <w:p>
      <w:pPr>
        <w:spacing w:after="0" w:line="136" w:lineRule="exact"/>
        <w:rPr>
          <w:sz w:val="20"/>
          <w:szCs w:val="20"/>
          <w:color w:val="auto"/>
        </w:rPr>
      </w:pPr>
    </w:p>
    <w:p>
      <w:pPr>
        <w:ind w:left="1280" w:right="259"/>
        <w:spacing w:after="0" w:line="273" w:lineRule="auto"/>
        <w:rPr>
          <w:sz w:val="20"/>
          <w:szCs w:val="20"/>
          <w:color w:val="auto"/>
        </w:rPr>
      </w:pPr>
      <w:r>
        <w:rPr>
          <w:rFonts w:ascii="Times New Roman" w:cs="Times New Roman" w:eastAsia="Times New Roman" w:hAnsi="Times New Roman"/>
          <w:sz w:val="14"/>
          <w:szCs w:val="14"/>
          <w:color w:val="auto"/>
        </w:rPr>
        <w:t>If indicated in the applicable prospectus supplement, underwriters, dealers or agents will be authorized to solicit offers by certain institutional investors to purchase securities from us pursuant to contracts providing for payment and delivery at a future date. Institutional investors with which these contracts may be made include, among others:</w:t>
      </w:r>
    </w:p>
    <w:p>
      <w:pPr>
        <w:spacing w:after="0" w:line="61" w:lineRule="exact"/>
        <w:rPr>
          <w:sz w:val="20"/>
          <w:szCs w:val="20"/>
          <w:color w:val="auto"/>
        </w:rPr>
      </w:pPr>
    </w:p>
    <w:p>
      <w:pPr>
        <w:ind w:left="2040" w:hanging="337"/>
        <w:spacing w:after="0"/>
        <w:tabs>
          <w:tab w:leader="none" w:pos="20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and savings banks;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companies;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pension funds;</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companies; and</w:t>
      </w:r>
    </w:p>
    <w:p>
      <w:pPr>
        <w:spacing w:after="0" w:line="106" w:lineRule="exact"/>
        <w:rPr>
          <w:rFonts w:ascii="Times New Roman" w:cs="Times New Roman" w:eastAsia="Times New Roman" w:hAnsi="Times New Roman"/>
          <w:sz w:val="14"/>
          <w:szCs w:val="14"/>
          <w:color w:val="auto"/>
        </w:rPr>
      </w:pPr>
    </w:p>
    <w:p>
      <w:pPr>
        <w:ind w:left="2040" w:hanging="337"/>
        <w:spacing w:after="0"/>
        <w:tabs>
          <w:tab w:leader="none" w:pos="20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educational and charitable institutions.</w:t>
      </w:r>
    </w:p>
    <w:p>
      <w:pPr>
        <w:spacing w:after="0" w:line="182" w:lineRule="exact"/>
        <w:rPr>
          <w:sz w:val="20"/>
          <w:szCs w:val="20"/>
          <w:color w:val="auto"/>
        </w:rPr>
      </w:pPr>
    </w:p>
    <w:p>
      <w:pPr>
        <w:ind w:left="1280" w:right="179"/>
        <w:spacing w:after="0" w:line="264" w:lineRule="auto"/>
        <w:rPr>
          <w:sz w:val="20"/>
          <w:szCs w:val="20"/>
          <w:color w:val="auto"/>
        </w:rPr>
      </w:pPr>
      <w:r>
        <w:rPr>
          <w:rFonts w:ascii="Times New Roman" w:cs="Times New Roman" w:eastAsia="Times New Roman" w:hAnsi="Times New Roman"/>
          <w:sz w:val="14"/>
          <w:szCs w:val="14"/>
          <w:color w:val="auto"/>
        </w:rPr>
        <w:t>In all cases, these purchasers must be approved by us or by such selling stockholders, as applicable. Unless otherwise set forth in the applicable prospectus supplement, the obligations of any purchaser under any of these contracts will not be subject to any conditions except that (a) the purchase of the securities must not at the time of delivery be prohibited under the laws of any jurisdiction to which that purchaser is subject, and (b) if the securities are also being sold to underwriters, we or selling stockholders, as applicable, must have sold to these underwriters the securities not subject to delayed delivery. Underwriters and other agents will not have any responsibility in respect of the validity or performance of these contracts.</w:t>
      </w:r>
    </w:p>
    <w:p>
      <w:pPr>
        <w:spacing w:after="0" w:line="143" w:lineRule="exact"/>
        <w:rPr>
          <w:sz w:val="20"/>
          <w:szCs w:val="20"/>
          <w:color w:val="auto"/>
        </w:rPr>
      </w:pPr>
    </w:p>
    <w:p>
      <w:pPr>
        <w:ind w:left="1280" w:right="239"/>
        <w:spacing w:after="0" w:line="264" w:lineRule="auto"/>
        <w:rPr>
          <w:sz w:val="20"/>
          <w:szCs w:val="20"/>
          <w:color w:val="auto"/>
        </w:rPr>
      </w:pPr>
      <w:r>
        <w:rPr>
          <w:rFonts w:ascii="Times New Roman" w:cs="Times New Roman" w:eastAsia="Times New Roman" w:hAnsi="Times New Roman"/>
          <w:sz w:val="14"/>
          <w:szCs w:val="14"/>
          <w:color w:val="auto"/>
        </w:rPr>
        <w:t>Some of the underwriters, dealers or agents used by us or selling stockholders in any offering of securities under this prospectus may be customers of, engage in transactions with, and perform services for us and/or such selling stockholders, as applicable, or affiliates of ours and/or such selling stockholders, as applicable, in the ordinary course of business. Underwriters, dealers, agents and other persons may be entitled under agreements which may be entered into with us and/or selling stockholders to indemnification against and contribution toward certain civil liabilities, including liabilities under the Securities Act, and to be reimbursed by us and/or such selling stockholders for certain expenses.</w:t>
      </w:r>
    </w:p>
    <w:p>
      <w:pPr>
        <w:spacing w:after="0" w:line="14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Any selling stockholder may be deemed to be an “underwriter” within the meaning of Section 2(a)(11) of the Securities Act.</w:t>
      </w:r>
    </w:p>
    <w:p>
      <w:pPr>
        <w:spacing w:after="0" w:line="182" w:lineRule="exact"/>
        <w:rPr>
          <w:sz w:val="20"/>
          <w:szCs w:val="20"/>
          <w:color w:val="auto"/>
        </w:rPr>
      </w:pPr>
    </w:p>
    <w:p>
      <w:pPr>
        <w:ind w:left="1280" w:right="399"/>
        <w:spacing w:after="0" w:line="291" w:lineRule="auto"/>
        <w:rPr>
          <w:sz w:val="20"/>
          <w:szCs w:val="20"/>
          <w:color w:val="auto"/>
        </w:rPr>
      </w:pPr>
      <w:r>
        <w:rPr>
          <w:rFonts w:ascii="Times New Roman" w:cs="Times New Roman" w:eastAsia="Times New Roman" w:hAnsi="Times New Roman"/>
          <w:sz w:val="14"/>
          <w:szCs w:val="14"/>
          <w:color w:val="auto"/>
        </w:rPr>
        <w:t>Subject to any restrictions relating to debt securities in bearer form, any securities initially sold outside the United States may be resold in the United States through underwriters, dealers or otherwise.</w:t>
      </w:r>
    </w:p>
    <w:p>
      <w:pPr>
        <w:spacing w:after="0" w:line="124" w:lineRule="exact"/>
        <w:rPr>
          <w:sz w:val="20"/>
          <w:szCs w:val="20"/>
          <w:color w:val="auto"/>
        </w:rPr>
      </w:pPr>
    </w:p>
    <w:p>
      <w:pPr>
        <w:ind w:left="1280" w:right="159"/>
        <w:spacing w:after="0" w:line="291" w:lineRule="auto"/>
        <w:rPr>
          <w:sz w:val="20"/>
          <w:szCs w:val="20"/>
          <w:color w:val="auto"/>
        </w:rPr>
      </w:pPr>
      <w:r>
        <w:rPr>
          <w:rFonts w:ascii="Times New Roman" w:cs="Times New Roman" w:eastAsia="Times New Roman" w:hAnsi="Times New Roman"/>
          <w:sz w:val="14"/>
          <w:szCs w:val="14"/>
          <w:color w:val="auto"/>
        </w:rPr>
        <w:t>Any underwriters to which offered securities are sold by us or selling stockholders for public offering and sale may make a market in such securities, but those underwriters will not be obligated to do so and may discontinue any market making at any time.</w:t>
      </w:r>
    </w:p>
    <w:p>
      <w:pPr>
        <w:spacing w:after="0" w:line="124" w:lineRule="exact"/>
        <w:rPr>
          <w:sz w:val="20"/>
          <w:szCs w:val="20"/>
          <w:color w:val="auto"/>
        </w:rPr>
      </w:pPr>
    </w:p>
    <w:p>
      <w:pPr>
        <w:ind w:left="1280" w:right="459"/>
        <w:spacing w:after="0" w:line="291" w:lineRule="auto"/>
        <w:rPr>
          <w:sz w:val="20"/>
          <w:szCs w:val="20"/>
          <w:color w:val="auto"/>
        </w:rPr>
      </w:pPr>
      <w:r>
        <w:rPr>
          <w:rFonts w:ascii="Times New Roman" w:cs="Times New Roman" w:eastAsia="Times New Roman" w:hAnsi="Times New Roman"/>
          <w:sz w:val="14"/>
          <w:szCs w:val="14"/>
          <w:color w:val="auto"/>
        </w:rPr>
        <w:t>The anticipated date of delivery of the securities offered by this prospectus will be described in the applicable prospectus supplement relating to the offering.</w:t>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91"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ind w:left="1280" w:right="259"/>
        <w:spacing w:after="0" w:line="273" w:lineRule="auto"/>
        <w:rPr>
          <w:sz w:val="20"/>
          <w:szCs w:val="20"/>
          <w:color w:val="auto"/>
        </w:rPr>
      </w:pPr>
      <w:r>
        <w:rPr>
          <w:rFonts w:ascii="Times New Roman" w:cs="Times New Roman" w:eastAsia="Times New Roman" w:hAnsi="Times New Roman"/>
          <w:sz w:val="14"/>
          <w:szCs w:val="14"/>
          <w:color w:val="auto"/>
        </w:rPr>
        <w:t>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91"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4" w:lineRule="exact"/>
        <w:rPr>
          <w:sz w:val="20"/>
          <w:szCs w:val="20"/>
          <w:color w:val="auto"/>
        </w:rPr>
      </w:pPr>
    </w:p>
    <w:p>
      <w:pPr>
        <w:ind w:left="1280" w:right="239"/>
        <w:spacing w:after="0" w:line="291" w:lineRule="auto"/>
        <w:rPr>
          <w:sz w:val="20"/>
          <w:szCs w:val="20"/>
          <w:color w:val="auto"/>
        </w:rPr>
      </w:pPr>
      <w:r>
        <w:rPr>
          <w:rFonts w:ascii="Times New Roman" w:cs="Times New Roman" w:eastAsia="Times New Roman" w:hAnsi="Times New Roman"/>
          <w:sz w:val="14"/>
          <w:szCs w:val="14"/>
          <w:color w:val="auto"/>
        </w:rPr>
        <w:t>Certain legal matters in connection with the offered securities will be passed upon for us by Paul, Weiss, Rifkind, Wharton &amp; Garrison LLP, New York, New York.</w:t>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91"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4" w:lineRule="exact"/>
        <w:rPr>
          <w:sz w:val="20"/>
          <w:szCs w:val="20"/>
          <w:color w:val="auto"/>
        </w:rPr>
      </w:pPr>
    </w:p>
    <w:p>
      <w:pPr>
        <w:ind w:left="1280" w:right="259"/>
        <w:spacing w:after="0" w:line="264" w:lineRule="auto"/>
        <w:rPr>
          <w:sz w:val="20"/>
          <w:szCs w:val="20"/>
          <w:color w:val="auto"/>
        </w:rPr>
      </w:pPr>
      <w:r>
        <w:rPr>
          <w:rFonts w:ascii="Times New Roman" w:cs="Times New Roman" w:eastAsia="Times New Roman" w:hAnsi="Times New Roman"/>
          <w:sz w:val="14"/>
          <w:szCs w:val="14"/>
          <w:color w:val="auto"/>
        </w:rPr>
        <w:t>The financial statements of Alignment Healthcare, Inc. as of December 31, 2025 and 2024, and for each of the three years in the period ended December 31, 2025, incorporated by reference in this Prospectus by reference to Alignment Healthcare, Inc.’s annual report on Form 10-K for the year ended December 31, 2025, and the effectiveness of Alignment Healthcare,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91"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84" w:lineRule="exact"/>
        <w:rPr>
          <w:sz w:val="20"/>
          <w:szCs w:val="20"/>
          <w:color w:val="auto"/>
        </w:rPr>
      </w:pPr>
    </w:p>
    <w:p>
      <w:pPr>
        <w:ind w:left="1280" w:right="179"/>
        <w:spacing w:after="0" w:line="267" w:lineRule="auto"/>
        <w:rPr>
          <w:sz w:val="20"/>
          <w:szCs w:val="20"/>
          <w:color w:val="auto"/>
        </w:rPr>
      </w:pPr>
      <w:r>
        <w:rPr>
          <w:rFonts w:ascii="Times New Roman" w:cs="Times New Roman" w:eastAsia="Times New Roman" w:hAnsi="Times New Roman"/>
          <w:sz w:val="14"/>
          <w:szCs w:val="14"/>
          <w:color w:val="auto"/>
        </w:rPr>
        <w:t>In this prospectus, we “incorporate by reference” certain information that is filed with the SEC, which means that we can disclose important information to you by referring you to that information. The information we incorporate by reference is an important part of this prospectus, and later information that we file with the SEC will automatically update and supersede this information. The following documents have been filed by us with the SEC and are incorporated by reference into this prospectus:</w:t>
      </w:r>
    </w:p>
    <w:p>
      <w:pPr>
        <w:spacing w:after="0" w:line="65" w:lineRule="exact"/>
        <w:rPr>
          <w:sz w:val="20"/>
          <w:szCs w:val="20"/>
          <w:color w:val="auto"/>
        </w:rPr>
      </w:pPr>
    </w:p>
    <w:p>
      <w:pPr>
        <w:ind w:left="2040" w:hanging="337"/>
        <w:spacing w:after="0"/>
        <w:tabs>
          <w:tab w:leader="none" w:pos="20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53">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with the SEC on February 27, 2026;</w:t>
      </w:r>
    </w:p>
    <w:p>
      <w:pPr>
        <w:spacing w:after="0" w:line="106" w:lineRule="exact"/>
        <w:rPr>
          <w:rFonts w:ascii="Times New Roman" w:cs="Times New Roman" w:eastAsia="Times New Roman" w:hAnsi="Times New Roman"/>
          <w:sz w:val="14"/>
          <w:szCs w:val="14"/>
          <w:color w:val="auto"/>
        </w:rPr>
      </w:pPr>
    </w:p>
    <w:p>
      <w:pPr>
        <w:ind w:left="2040" w:right="239" w:hanging="337"/>
        <w:spacing w:after="0" w:line="291" w:lineRule="auto"/>
        <w:tabs>
          <w:tab w:leader="none" w:pos="20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Portions of our </w:t>
      </w:r>
      <w:hyperlink r:id="rId54">
        <w:r>
          <w:rPr>
            <w:rFonts w:ascii="Times New Roman" w:cs="Times New Roman" w:eastAsia="Times New Roman" w:hAnsi="Times New Roman"/>
            <w:sz w:val="14"/>
            <w:szCs w:val="14"/>
            <w:u w:val="single" w:color="auto"/>
            <w:color w:val="0000EE"/>
          </w:rPr>
          <w:t>Definitive Proxy Statement</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on Schedule 14A filed with the SEC on April 25, 2025 that are incorporated by reference into Part III of our Annual Report on </w:t>
      </w:r>
      <w:hyperlink r:id="rId55">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2024; and</w:t>
      </w:r>
    </w:p>
    <w:p>
      <w:pPr>
        <w:spacing w:after="0" w:line="48" w:lineRule="exact"/>
        <w:rPr>
          <w:rFonts w:ascii="Times New Roman" w:cs="Times New Roman" w:eastAsia="Times New Roman" w:hAnsi="Times New Roman"/>
          <w:sz w:val="14"/>
          <w:szCs w:val="14"/>
          <w:color w:val="auto"/>
        </w:rPr>
      </w:pPr>
    </w:p>
    <w:p>
      <w:pPr>
        <w:ind w:left="2040" w:right="299" w:hanging="337"/>
        <w:spacing w:after="0" w:line="291" w:lineRule="auto"/>
        <w:tabs>
          <w:tab w:leader="none" w:pos="20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set forth in </w:t>
      </w:r>
      <w:hyperlink r:id="rId56">
        <w:r>
          <w:rPr>
            <w:rFonts w:ascii="Times New Roman" w:cs="Times New Roman" w:eastAsia="Times New Roman" w:hAnsi="Times New Roman"/>
            <w:sz w:val="14"/>
            <w:szCs w:val="14"/>
            <w:u w:val="single" w:color="auto"/>
            <w:color w:val="0000EE"/>
          </w:rPr>
          <w:t>Exhibit 4.2</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fiscal year ended December 31, 2021, filed with the SEC on March 3, 2022.</w:t>
      </w:r>
    </w:p>
    <w:p>
      <w:pPr>
        <w:spacing w:after="0" w:line="124" w:lineRule="exact"/>
        <w:rPr>
          <w:rFonts w:ascii="Times New Roman" w:cs="Times New Roman" w:eastAsia="Times New Roman" w:hAnsi="Times New Roman"/>
          <w:sz w:val="14"/>
          <w:szCs w:val="14"/>
          <w:color w:val="auto"/>
        </w:rPr>
      </w:pPr>
    </w:p>
    <w:p>
      <w:pPr>
        <w:ind w:left="1280" w:right="179"/>
        <w:spacing w:after="0" w:line="267" w:lineRule="auto"/>
        <w:rPr>
          <w:sz w:val="20"/>
          <w:szCs w:val="20"/>
          <w:color w:val="auto"/>
        </w:rPr>
      </w:pPr>
      <w:r>
        <w:rPr>
          <w:rFonts w:ascii="Times New Roman" w:cs="Times New Roman" w:eastAsia="Times New Roman" w:hAnsi="Times New Roman"/>
          <w:sz w:val="14"/>
          <w:szCs w:val="14"/>
          <w:color w:val="auto"/>
        </w:rPr>
        <w:t>All documents and reports that we file with the SEC (other than any portion of such filings that are furnished under applicable SEC rules rather than filed) under Sections 13(a), 13(c), 14 or 15(d) of the Securities Exchange Act of 1934, as amended (the “Exchange Act”) from the date of this prospectus until the completion of the offering under this prospectus shall be deemed to be incorporated in this prospectus by reference. The information contained on or accessible through our website (http://www.alignmenthealth.com) is not incorporated into this prospectus.</w:t>
      </w:r>
    </w:p>
    <w:p>
      <w:pPr>
        <w:spacing w:after="0" w:line="140" w:lineRule="exact"/>
        <w:rPr>
          <w:rFonts w:ascii="Times New Roman" w:cs="Times New Roman" w:eastAsia="Times New Roman" w:hAnsi="Times New Roman"/>
          <w:sz w:val="14"/>
          <w:szCs w:val="14"/>
          <w:color w:val="auto"/>
        </w:rPr>
      </w:pPr>
    </w:p>
    <w:p>
      <w:pPr>
        <w:jc w:val="both"/>
        <w:ind w:left="1280" w:right="619"/>
        <w:spacing w:after="0" w:line="273" w:lineRule="auto"/>
        <w:rPr>
          <w:sz w:val="20"/>
          <w:szCs w:val="20"/>
          <w:color w:val="auto"/>
        </w:rPr>
      </w:pPr>
      <w:r>
        <w:rPr>
          <w:rFonts w:ascii="Times New Roman" w:cs="Times New Roman" w:eastAsia="Times New Roman" w:hAnsi="Times New Roman"/>
          <w:sz w:val="14"/>
          <w:szCs w:val="14"/>
          <w:color w:val="auto"/>
        </w:rPr>
        <w:t>You may request a copy of these filings, other than an exhibit to these filings unless we have specifically included or incorporated that exhibit by reference into the filing, from the SEC as described under “Where You Can Find More Information” or, at no cost, by writing or telephoning the Company at the following address:</w:t>
      </w:r>
    </w:p>
    <w:p>
      <w:pPr>
        <w:spacing w:after="0" w:line="136"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Alignment Healthcare, Inc.</w:t>
      </w:r>
    </w:p>
    <w:p>
      <w:pPr>
        <w:spacing w:after="0" w:line="24"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10"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1100 W. Town and Country Road, Suite 1600</w:t>
      </w:r>
    </w:p>
    <w:p>
      <w:pPr>
        <w:spacing w:after="0" w:line="10"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Orange, California 92868</w:t>
      </w:r>
    </w:p>
    <w:p>
      <w:pPr>
        <w:spacing w:after="0" w:line="10"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Telephone: (844) 310-2247</w:t>
      </w:r>
    </w:p>
    <w:p>
      <w:pPr>
        <w:spacing w:after="0" w:line="168" w:lineRule="exact"/>
        <w:rPr>
          <w:rFonts w:ascii="Times New Roman" w:cs="Times New Roman" w:eastAsia="Times New Roman" w:hAnsi="Times New Roman"/>
          <w:sz w:val="14"/>
          <w:szCs w:val="14"/>
          <w:color w:val="auto"/>
        </w:rPr>
      </w:pPr>
    </w:p>
    <w:p>
      <w:pPr>
        <w:ind w:left="1280" w:right="199"/>
        <w:spacing w:after="0" w:line="261" w:lineRule="auto"/>
        <w:rPr>
          <w:sz w:val="20"/>
          <w:szCs w:val="20"/>
          <w:color w:val="auto"/>
        </w:rPr>
      </w:pPr>
      <w:r>
        <w:rPr>
          <w:rFonts w:ascii="Times New Roman" w:cs="Times New Roman" w:eastAsia="Times New Roman" w:hAnsi="Times New Roman"/>
          <w:sz w:val="14"/>
          <w:szCs w:val="14"/>
          <w:color w:val="auto"/>
        </w:rPr>
        <w:t>You should rely only on the information contained or incorporated by reference in this prospectus, the prospectus supplement, any free writing prospectus that we authorize and any pricing supplement. We have not authorized any person, including any salesman or broker, to provide information other than that provided in this prospectus, any applicable prospectus supplement, any free writing prospectus that we authorize or any pricing supplement. We have not authorized anyone to provide you with different information. We do not take responsibility for, and can provide no assurance as to the reliability of, any information that others may give you. We are not making an offer of the securities in any jurisdiction where the offer is not permitted. You should not assume that the information in this prospectus, any applicable prospectus supplement, any free writing prospectus that we authorize, any pricing supplement or any documents incorporated by reference is accurate as of any date other than the date of the applicable document.</w:t>
      </w:r>
    </w:p>
    <w:p>
      <w:pPr>
        <w:spacing w:after="0" w:line="145" w:lineRule="exact"/>
        <w:rPr>
          <w:rFonts w:ascii="Times New Roman" w:cs="Times New Roman" w:eastAsia="Times New Roman" w:hAnsi="Times New Roman"/>
          <w:sz w:val="14"/>
          <w:szCs w:val="14"/>
          <w:color w:val="auto"/>
        </w:rPr>
      </w:pPr>
    </w:p>
    <w:p>
      <w:pPr>
        <w:ind w:left="1280" w:right="199"/>
        <w:spacing w:after="0" w:line="267" w:lineRule="auto"/>
        <w:rPr>
          <w:sz w:val="20"/>
          <w:szCs w:val="20"/>
          <w:color w:val="auto"/>
        </w:rPr>
      </w:pPr>
      <w:r>
        <w:rPr>
          <w:rFonts w:ascii="Times New Roman" w:cs="Times New Roman" w:eastAsia="Times New Roman" w:hAnsi="Times New Roman"/>
          <w:sz w:val="14"/>
          <w:szCs w:val="14"/>
          <w:color w:val="auto"/>
        </w:rPr>
        <w:t>Any statement contained in a document incorporated or deemed to be incorporated by reference into this prospectus will be deemed to be modified or superseded for purposes of this prospectus to the extent that a statement contained in this prospectus, any applicable prospectus supplement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87"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91"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4" w:lineRule="exact"/>
        <w:rPr>
          <w:sz w:val="20"/>
          <w:szCs w:val="20"/>
          <w:color w:val="auto"/>
        </w:rPr>
      </w:pPr>
    </w:p>
    <w:p>
      <w:pPr>
        <w:jc w:val="both"/>
        <w:ind w:left="1280" w:right="239"/>
        <w:spacing w:after="0" w:line="273"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Our SEC filings are available on the SEC’s website at http://www.sec.gov. We also make available free of charge on our website at http://www.alignmenthealth.com all materials that we file electronically with the SEC.</w:t>
      </w:r>
    </w:p>
    <w:p>
      <w:pPr>
        <w:spacing w:after="0" w:line="136" w:lineRule="exact"/>
        <w:rPr>
          <w:sz w:val="20"/>
          <w:szCs w:val="20"/>
          <w:color w:val="auto"/>
        </w:rPr>
      </w:pPr>
    </w:p>
    <w:p>
      <w:pPr>
        <w:jc w:val="both"/>
        <w:ind w:left="1280" w:right="219"/>
        <w:spacing w:after="0" w:line="273" w:lineRule="auto"/>
        <w:rPr>
          <w:sz w:val="20"/>
          <w:szCs w:val="20"/>
          <w:color w:val="auto"/>
        </w:rPr>
      </w:pPr>
      <w:r>
        <w:rPr>
          <w:rFonts w:ascii="Times New Roman" w:cs="Times New Roman" w:eastAsia="Times New Roman" w:hAnsi="Times New Roman"/>
          <w:sz w:val="14"/>
          <w:szCs w:val="14"/>
          <w:color w:val="auto"/>
        </w:rPr>
        <w:t>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website.</w:t>
      </w:r>
    </w:p>
    <w:p>
      <w:pPr>
        <w:spacing w:after="0" w:line="3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91"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812800</wp:posOffset>
            </wp:positionH>
            <wp:positionV relativeFrom="paragraph">
              <wp:posOffset>193675</wp:posOffset>
            </wp:positionV>
            <wp:extent cx="5549265" cy="13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5549265" cy="13335"/>
                    </a:xfrm>
                    <a:prstGeom prst="rect">
                      <a:avLst/>
                    </a:prstGeom>
                    <a:noFill/>
                  </pic:spPr>
                </pic:pic>
              </a:graphicData>
            </a:graphic>
          </wp:anchor>
        </w:drawing>
        <w:drawing>
          <wp:anchor simplePos="0" relativeHeight="251657728" behindDoc="1" locked="0" layoutInCell="0" allowOverlap="1">
            <wp:simplePos x="0" y="0"/>
            <wp:positionH relativeFrom="column">
              <wp:posOffset>812800</wp:posOffset>
            </wp:positionH>
            <wp:positionV relativeFrom="paragraph">
              <wp:posOffset>234950</wp:posOffset>
            </wp:positionV>
            <wp:extent cx="554926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5549265" cy="6985"/>
                    </a:xfrm>
                    <a:prstGeom prst="rect">
                      <a:avLst/>
                    </a:prstGeom>
                    <a:noFill/>
                  </pic:spPr>
                </pic:pic>
              </a:graphicData>
            </a:graphic>
          </wp:anchor>
        </w:drawing>
      </w:r>
    </w:p>
    <w:p>
      <w:pPr>
        <w:sectPr>
          <w:pgSz w:w="11900" w:h="16838" w:orient="portrait"/>
          <w:cols w:equalWidth="0" w:num="1">
            <w:col w:w="10159"/>
          </w:cols>
          <w:pgMar w:left="300" w:top="3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34"/>
          <w:szCs w:val="34"/>
          <w:b w:val="1"/>
          <w:bCs w:val="1"/>
          <w:color w:val="auto"/>
        </w:rPr>
        <w:t>Alignment Healthcare,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9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9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9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Depositary Shares</w:t>
      </w:r>
    </w:p>
    <w:p>
      <w:pPr>
        <w:spacing w:after="0" w:line="9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Warrants</w:t>
      </w:r>
    </w:p>
    <w:p>
      <w:pPr>
        <w:spacing w:after="0" w:line="9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Purchase Contracts</w:t>
      </w:r>
    </w:p>
    <w:p>
      <w:pPr>
        <w:spacing w:after="0" w:line="9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3002280</wp:posOffset>
            </wp:positionH>
            <wp:positionV relativeFrom="paragraph">
              <wp:posOffset>1071880</wp:posOffset>
            </wp:positionV>
            <wp:extent cx="116268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116268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3002280</wp:posOffset>
            </wp:positionH>
            <wp:positionV relativeFrom="paragraph">
              <wp:posOffset>197485</wp:posOffset>
            </wp:positionV>
            <wp:extent cx="116268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116268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March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812800</wp:posOffset>
            </wp:positionH>
            <wp:positionV relativeFrom="paragraph">
              <wp:posOffset>642620</wp:posOffset>
            </wp:positionV>
            <wp:extent cx="554926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5549265" cy="6985"/>
                    </a:xfrm>
                    <a:prstGeom prst="rect">
                      <a:avLst/>
                    </a:prstGeom>
                    <a:noFill/>
                  </pic:spPr>
                </pic:pic>
              </a:graphicData>
            </a:graphic>
          </wp:anchor>
        </w:drawing>
        <w:drawing>
          <wp:anchor simplePos="0" relativeHeight="251657728" behindDoc="1" locked="0" layoutInCell="0" allowOverlap="1">
            <wp:simplePos x="0" y="0"/>
            <wp:positionH relativeFrom="column">
              <wp:posOffset>812800</wp:posOffset>
            </wp:positionH>
            <wp:positionV relativeFrom="paragraph">
              <wp:posOffset>690245</wp:posOffset>
            </wp:positionV>
            <wp:extent cx="5549265" cy="13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5549265" cy="13335"/>
                    </a:xfrm>
                    <a:prstGeom prst="rect">
                      <a:avLst/>
                    </a:prstGeom>
                    <a:noFill/>
                  </pic:spPr>
                </pic:pic>
              </a:graphicData>
            </a:graphic>
          </wp:anchor>
        </w:drawing>
      </w:r>
    </w:p>
    <w:p>
      <w:pPr>
        <w:sectPr>
          <w:pgSz w:w="11900" w:h="16838" w:orient="portrait"/>
          <w:cols w:equalWidth="0" w:num="1">
            <w:col w:w="10159"/>
          </w:cols>
          <w:pgMar w:left="300" w:top="391" w:right="1440"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8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203" w:lineRule="exact"/>
        <w:rPr>
          <w:sz w:val="20"/>
          <w:szCs w:val="20"/>
          <w:color w:val="auto"/>
        </w:rPr>
      </w:pPr>
    </w:p>
    <w:p>
      <w:pPr>
        <w:ind w:left="1280"/>
        <w:spacing w:after="0"/>
        <w:tabs>
          <w:tab w:leader="none" w:pos="212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OTHER EXPENSES OF ISSUANCE AND DISTRIBUTION.</w:t>
      </w:r>
    </w:p>
    <w:p>
      <w:pPr>
        <w:spacing w:after="0" w:line="184" w:lineRule="exact"/>
        <w:rPr>
          <w:sz w:val="20"/>
          <w:szCs w:val="20"/>
          <w:color w:val="auto"/>
        </w:rPr>
      </w:pPr>
    </w:p>
    <w:p>
      <w:pPr>
        <w:ind w:left="1280" w:right="499"/>
        <w:spacing w:after="0" w:line="273" w:lineRule="auto"/>
        <w:rPr>
          <w:sz w:val="20"/>
          <w:szCs w:val="20"/>
          <w:color w:val="auto"/>
        </w:rPr>
      </w:pPr>
      <w:r>
        <w:rPr>
          <w:rFonts w:ascii="Times New Roman" w:cs="Times New Roman" w:eastAsia="Times New Roman" w:hAnsi="Times New Roman"/>
          <w:sz w:val="14"/>
          <w:szCs w:val="14"/>
          <w:color w:val="auto"/>
        </w:rPr>
        <w:t>The following table sets forth expenses payable by the Company in connection with the issuance and distribution of the securities being registered, excluding underwriting fees and expenses. All the amounts shown are estimates except the registration fee paid to the Securities and Exchange Commission.</w:t>
      </w:r>
    </w:p>
    <w:p>
      <w:pPr>
        <w:spacing w:after="0" w:line="172" w:lineRule="exact"/>
        <w:rPr>
          <w:sz w:val="20"/>
          <w:szCs w:val="20"/>
          <w:color w:val="auto"/>
        </w:rPr>
      </w:pPr>
    </w:p>
    <w:tbl>
      <w:tblPr>
        <w:tblLayout w:type="fixed"/>
        <w:tblInd w:w="2680" w:type="dxa"/>
        <w:tblCellMar>
          <w:top w:w="0" w:type="dxa"/>
          <w:left w:w="0" w:type="dxa"/>
          <w:bottom w:w="0" w:type="dxa"/>
          <w:right w:w="0" w:type="dxa"/>
        </w:tblCellMar>
      </w:tblPr>
      <w:tr>
        <w:trPr>
          <w:trHeight w:val="171"/>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9"/>
              </w:rPr>
              <w:t>   †</w:t>
            </w:r>
          </w:p>
        </w:tc>
      </w:tr>
      <w:tr>
        <w:trPr>
          <w:trHeight w:val="171"/>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Printing expenses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71"/>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r>
      <w:tr>
        <w:trPr>
          <w:trHeight w:val="171"/>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71"/>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Fees and expenses of trustee and counsel</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r>
      <w:tr>
        <w:trPr>
          <w:trHeight w:val="173"/>
        </w:trPr>
        <w:tc>
          <w:tcPr>
            <w:tcW w:w="5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812800</wp:posOffset>
            </wp:positionH>
            <wp:positionV relativeFrom="paragraph">
              <wp:posOffset>74930</wp:posOffset>
            </wp:positionV>
            <wp:extent cx="60515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605155" cy="6985"/>
                    </a:xfrm>
                    <a:prstGeom prst="rect">
                      <a:avLst/>
                    </a:prstGeom>
                    <a:noFill/>
                  </pic:spPr>
                </pic:pic>
              </a:graphicData>
            </a:graphic>
          </wp:anchor>
        </w:drawing>
      </w:r>
    </w:p>
    <w:p>
      <w:pPr>
        <w:spacing w:after="0" w:line="126" w:lineRule="exact"/>
        <w:rPr>
          <w:sz w:val="20"/>
          <w:szCs w:val="20"/>
          <w:color w:val="auto"/>
        </w:rPr>
      </w:pPr>
    </w:p>
    <w:p>
      <w:pPr>
        <w:ind w:left="1440" w:right="259" w:hanging="165"/>
        <w:spacing w:after="0" w:line="265" w:lineRule="auto"/>
        <w:tabs>
          <w:tab w:leader="none" w:pos="1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SEC registration fees have been deferred in accordance with Rules 456(b) and 457(r) of the Securities Act of 1933 and are not estimable at this time.</w:t>
      </w:r>
    </w:p>
    <w:p>
      <w:pPr>
        <w:spacing w:after="0" w:line="1" w:lineRule="exact"/>
        <w:rPr>
          <w:sz w:val="20"/>
          <w:szCs w:val="20"/>
          <w:color w:val="auto"/>
        </w:rPr>
      </w:pPr>
    </w:p>
    <w:p>
      <w:pPr>
        <w:ind w:left="1440" w:right="159" w:hanging="165"/>
        <w:spacing w:after="0" w:line="270" w:lineRule="auto"/>
        <w:tabs>
          <w:tab w:leader="none" w:pos="1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are based on the number of issuances and the amount of securities offered and, accordingly, are presently not known and cannot be estimated.</w:t>
      </w:r>
    </w:p>
    <w:p>
      <w:pPr>
        <w:spacing w:after="0" w:line="254" w:lineRule="exact"/>
        <w:rPr>
          <w:sz w:val="20"/>
          <w:szCs w:val="20"/>
          <w:color w:val="auto"/>
        </w:rPr>
      </w:pPr>
    </w:p>
    <w:p>
      <w:pPr>
        <w:ind w:left="1280"/>
        <w:spacing w:after="0"/>
        <w:tabs>
          <w:tab w:leader="none" w:pos="212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color w:val="auto"/>
        </w:rPr>
        <w:t>INDEMNIFICATION OF DIRECTORS AND OFFICERS.</w:t>
      </w:r>
    </w:p>
    <w:p>
      <w:pPr>
        <w:spacing w:after="0" w:line="98" w:lineRule="exact"/>
        <w:rPr>
          <w:sz w:val="20"/>
          <w:szCs w:val="20"/>
          <w:color w:val="auto"/>
        </w:rPr>
      </w:pPr>
    </w:p>
    <w:p>
      <w:pPr>
        <w:ind w:left="1280" w:right="179"/>
        <w:spacing w:after="0" w:line="261" w:lineRule="auto"/>
        <w:rPr>
          <w:sz w:val="20"/>
          <w:szCs w:val="20"/>
          <w:color w:val="auto"/>
        </w:rPr>
      </w:pPr>
      <w:r>
        <w:rPr>
          <w:rFonts w:ascii="Times New Roman" w:cs="Times New Roman" w:eastAsia="Times New Roman" w:hAnsi="Times New Roman"/>
          <w:sz w:val="14"/>
          <w:szCs w:val="14"/>
          <w:color w:val="auto"/>
        </w:rPr>
        <w:t>Section 145(a) of the Delaware General Corporation Law provides, in general, that a corporation shall have the power to indemnify any person who was or is a party or is threatened to be made a party to any threatened, pending or completed action, suit or proceeding, whether civil, criminal, administrative or investigative, other than an action by or in the right of the corporation, because the person is or was a director or officer of the corporation. Such indemnity may be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if, with respect to any criminal action or proceeding, the person did not have reasonable cause to believe the person’s conduct was unlawful.</w:t>
      </w:r>
    </w:p>
    <w:p>
      <w:pPr>
        <w:spacing w:after="0" w:line="145" w:lineRule="exact"/>
        <w:rPr>
          <w:sz w:val="20"/>
          <w:szCs w:val="20"/>
          <w:color w:val="auto"/>
        </w:rPr>
      </w:pPr>
    </w:p>
    <w:p>
      <w:pPr>
        <w:ind w:left="1280" w:right="139"/>
        <w:spacing w:after="0" w:line="259" w:lineRule="auto"/>
        <w:rPr>
          <w:sz w:val="20"/>
          <w:szCs w:val="20"/>
          <w:color w:val="auto"/>
        </w:rPr>
      </w:pPr>
      <w:r>
        <w:rPr>
          <w:rFonts w:ascii="Times New Roman" w:cs="Times New Roman" w:eastAsia="Times New Roman" w:hAnsi="Times New Roman"/>
          <w:sz w:val="14"/>
          <w:szCs w:val="14"/>
          <w:color w:val="auto"/>
        </w:rPr>
        <w:t>Section 145(b) of the Delaware General Corporation Law provides, in general, that a corporation shall have the power to indemnify any person who was or is a party or is threatened to be made a party to any threatened, pending or completed action or suit by or in the right of the corporation to procure a judgment in its favor because the person is or was a director or officer of the corporation, against any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be indemnified for such expenses which the Court of Chancery or such other court shall deem proper.</w:t>
      </w:r>
    </w:p>
    <w:p>
      <w:pPr>
        <w:spacing w:after="0" w:line="150" w:lineRule="exact"/>
        <w:rPr>
          <w:sz w:val="20"/>
          <w:szCs w:val="20"/>
          <w:color w:val="auto"/>
        </w:rPr>
      </w:pPr>
    </w:p>
    <w:p>
      <w:pPr>
        <w:ind w:left="1280" w:right="519"/>
        <w:spacing w:after="0" w:line="273" w:lineRule="auto"/>
        <w:rPr>
          <w:sz w:val="20"/>
          <w:szCs w:val="20"/>
          <w:color w:val="auto"/>
        </w:rPr>
      </w:pPr>
      <w:r>
        <w:rPr>
          <w:rFonts w:ascii="Times New Roman" w:cs="Times New Roman" w:eastAsia="Times New Roman" w:hAnsi="Times New Roman"/>
          <w:sz w:val="14"/>
          <w:szCs w:val="14"/>
          <w:color w:val="auto"/>
        </w:rPr>
        <w:t>Section 145(g) of the Delaware General Corporation Law provides, in general, that a corporation shall have the power to purchase and maintain insurance on behalf of any person who is or was a director or officer of the corporation against any liability asserted against the person in any such capacity, or arising out of the person’s</w:t>
      </w:r>
    </w:p>
    <w:p>
      <w:pPr>
        <w:spacing w:after="0" w:line="8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91"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ind w:left="1280" w:right="199"/>
        <w:spacing w:after="0" w:line="264" w:lineRule="auto"/>
        <w:rPr>
          <w:sz w:val="20"/>
          <w:szCs w:val="20"/>
          <w:color w:val="auto"/>
        </w:rPr>
      </w:pPr>
      <w:r>
        <w:rPr>
          <w:rFonts w:ascii="Times New Roman" w:cs="Times New Roman" w:eastAsia="Times New Roman" w:hAnsi="Times New Roman"/>
          <w:sz w:val="14"/>
          <w:szCs w:val="14"/>
          <w:color w:val="auto"/>
        </w:rPr>
        <w:t>status as such, whether or not the corporation would have the power to indemnify the person against such liability under the provisions of the law. Our amended and restated certificate of incorporation provides that, to the fullest extent permitted by applicable law, a director will not be liable to us or our stockholders for monetary damages for breach of fiduciary duty as a director. In addition, our amended and restated certificate of incorporation provides that we will indemnify each director and officer and may indemnify employees and agents, as determined by our board, to the fullest extent provided by the laws of the State of Delaware.</w:t>
      </w:r>
    </w:p>
    <w:p>
      <w:pPr>
        <w:spacing w:after="0" w:line="143" w:lineRule="exact"/>
        <w:rPr>
          <w:sz w:val="20"/>
          <w:szCs w:val="20"/>
          <w:color w:val="auto"/>
        </w:rPr>
      </w:pPr>
    </w:p>
    <w:p>
      <w:pPr>
        <w:ind w:left="1280" w:right="259"/>
        <w:spacing w:after="0" w:line="291" w:lineRule="auto"/>
        <w:rPr>
          <w:sz w:val="20"/>
          <w:szCs w:val="20"/>
          <w:color w:val="auto"/>
        </w:rPr>
      </w:pPr>
      <w:r>
        <w:rPr>
          <w:rFonts w:ascii="Times New Roman" w:cs="Times New Roman" w:eastAsia="Times New Roman" w:hAnsi="Times New Roman"/>
          <w:sz w:val="14"/>
          <w:szCs w:val="14"/>
          <w:color w:val="auto"/>
        </w:rPr>
        <w:t>The foregoing statements are subject to the detailed provisions of Section 145 of the Delaware General Corporation Law and our amended and restated certificate of incorporation and amended and restated by-laws.</w:t>
      </w:r>
    </w:p>
    <w:p>
      <w:pPr>
        <w:spacing w:after="0" w:line="124" w:lineRule="exact"/>
        <w:rPr>
          <w:sz w:val="20"/>
          <w:szCs w:val="20"/>
          <w:color w:val="auto"/>
        </w:rPr>
      </w:pPr>
    </w:p>
    <w:p>
      <w:pPr>
        <w:ind w:left="1280" w:right="239"/>
        <w:spacing w:after="0" w:line="264" w:lineRule="auto"/>
        <w:rPr>
          <w:sz w:val="20"/>
          <w:szCs w:val="20"/>
          <w:color w:val="auto"/>
        </w:rPr>
      </w:pPr>
      <w:r>
        <w:rPr>
          <w:rFonts w:ascii="Times New Roman" w:cs="Times New Roman" w:eastAsia="Times New Roman" w:hAnsi="Times New Roman"/>
          <w:sz w:val="14"/>
          <w:szCs w:val="14"/>
          <w:color w:val="auto"/>
        </w:rPr>
        <w:t>Section 102 of the Delaware General Corporation Law permits the limitation of directors’ personal liability to the corporation or its stockholders for monetary damages for breach of fiduciary duties as a director except for (i) any breach of the director’s duty of loyalty to the corporation or its stockholders, (ii) acts or omissions not in good faith or which involve intentional misconduct or a knowing violation of the law, (iii) breaches under Section 174 of the Delaware General Corporation Law, which relates to unlawful payments of dividends or unlawful stock repurchases or redemptions, and (iv) any transaction from which the director derived an improper personal benefit.</w:t>
      </w:r>
    </w:p>
    <w:p>
      <w:pPr>
        <w:spacing w:after="0" w:line="14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Reference is made to Item 17 for our undertakings with respect to indemnification for liabilities arising under the Securities Act.</w:t>
      </w:r>
    </w:p>
    <w:p>
      <w:pPr>
        <w:spacing w:after="0" w:line="1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We maintain directors’ and officers’ liability insurance for our officers and directors.</w:t>
      </w:r>
    </w:p>
    <w:p>
      <w:pPr>
        <w:spacing w:after="0" w:line="182" w:lineRule="exact"/>
        <w:rPr>
          <w:sz w:val="20"/>
          <w:szCs w:val="20"/>
          <w:color w:val="auto"/>
        </w:rPr>
      </w:pPr>
    </w:p>
    <w:p>
      <w:pPr>
        <w:ind w:left="1280" w:right="199"/>
        <w:spacing w:after="0" w:line="291" w:lineRule="auto"/>
        <w:rPr>
          <w:sz w:val="20"/>
          <w:szCs w:val="20"/>
          <w:color w:val="auto"/>
        </w:rPr>
      </w:pPr>
      <w:r>
        <w:rPr>
          <w:rFonts w:ascii="Times New Roman" w:cs="Times New Roman" w:eastAsia="Times New Roman" w:hAnsi="Times New Roman"/>
          <w:sz w:val="14"/>
          <w:szCs w:val="14"/>
          <w:color w:val="auto"/>
        </w:rPr>
        <w:t>We entered into an indemnification agreement with each of our executive officers and directors that provides, in general, that we will indemnify them to the fullest extent permitted by law in connection with their service to us or on our behalf.</w:t>
      </w:r>
    </w:p>
    <w:p>
      <w:pPr>
        <w:spacing w:after="0" w:line="239" w:lineRule="exact"/>
        <w:rPr>
          <w:sz w:val="20"/>
          <w:szCs w:val="20"/>
          <w:color w:val="auto"/>
        </w:rPr>
      </w:pPr>
    </w:p>
    <w:p>
      <w:pPr>
        <w:ind w:left="1280"/>
        <w:spacing w:after="0"/>
        <w:tabs>
          <w:tab w:leader="none" w:pos="212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4"/>
          <w:szCs w:val="14"/>
          <w:b w:val="1"/>
          <w:bCs w:val="1"/>
          <w:color w:val="auto"/>
        </w:rPr>
        <w:t>EXHIBITS</w:t>
      </w:r>
    </w:p>
    <w:p>
      <w:pPr>
        <w:spacing w:after="0" w:line="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 list of exhibits filed with this registration statement is contained in the exhibits index, which is incorporated by reference.</w:t>
      </w:r>
    </w:p>
    <w:p>
      <w:pPr>
        <w:spacing w:after="0" w:line="298" w:lineRule="exact"/>
        <w:rPr>
          <w:sz w:val="20"/>
          <w:szCs w:val="20"/>
          <w:color w:val="auto"/>
        </w:rPr>
      </w:pPr>
    </w:p>
    <w:p>
      <w:pPr>
        <w:ind w:left="1280"/>
        <w:spacing w:after="0"/>
        <w:tabs>
          <w:tab w:leader="none" w:pos="212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4"/>
          <w:szCs w:val="14"/>
          <w:b w:val="1"/>
          <w:bCs w:val="1"/>
          <w:color w:val="auto"/>
        </w:rPr>
        <w:t>UNDERTAKINGS</w:t>
      </w:r>
    </w:p>
    <w:p>
      <w:pPr>
        <w:spacing w:after="0" w:line="109" w:lineRule="exact"/>
        <w:rPr>
          <w:sz w:val="20"/>
          <w:szCs w:val="20"/>
          <w:color w:val="auto"/>
        </w:rPr>
      </w:pPr>
    </w:p>
    <w:p>
      <w:pPr>
        <w:ind w:left="2040" w:hanging="423"/>
        <w:spacing w:after="0"/>
        <w:tabs>
          <w:tab w:leader="none" w:pos="20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96" w:lineRule="exact"/>
        <w:rPr>
          <w:rFonts w:ascii="Times New Roman" w:cs="Times New Roman" w:eastAsia="Times New Roman" w:hAnsi="Times New Roman"/>
          <w:sz w:val="14"/>
          <w:szCs w:val="14"/>
          <w:color w:val="auto"/>
        </w:rPr>
      </w:pPr>
    </w:p>
    <w:p>
      <w:pPr>
        <w:ind w:left="2260" w:hanging="199"/>
        <w:spacing w:after="0"/>
        <w:tabs>
          <w:tab w:leader="none" w:pos="226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06" w:lineRule="exact"/>
        <w:rPr>
          <w:rFonts w:ascii="Times New Roman" w:cs="Times New Roman" w:eastAsia="Times New Roman" w:hAnsi="Times New Roman"/>
          <w:sz w:val="14"/>
          <w:szCs w:val="14"/>
          <w:color w:val="auto"/>
        </w:rPr>
      </w:pPr>
    </w:p>
    <w:p>
      <w:pPr>
        <w:ind w:left="2840" w:hanging="430"/>
        <w:spacing w:after="0"/>
        <w:tabs>
          <w:tab w:leader="none" w:pos="2840" w:val="left"/>
        </w:tabs>
        <w:numPr>
          <w:ilvl w:val="2"/>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as amended;</w:t>
      </w:r>
    </w:p>
    <w:p>
      <w:pPr>
        <w:spacing w:after="0" w:line="106" w:lineRule="exact"/>
        <w:rPr>
          <w:rFonts w:ascii="Times New Roman" w:cs="Times New Roman" w:eastAsia="Times New Roman" w:hAnsi="Times New Roman"/>
          <w:sz w:val="14"/>
          <w:szCs w:val="14"/>
          <w:color w:val="auto"/>
        </w:rPr>
      </w:pPr>
    </w:p>
    <w:p>
      <w:pPr>
        <w:ind w:left="2840" w:right="159" w:hanging="430"/>
        <w:spacing w:after="0" w:line="260" w:lineRule="auto"/>
        <w:tabs>
          <w:tab w:leader="none" w:pos="2840" w:val="left"/>
        </w:tabs>
        <w:numPr>
          <w:ilvl w:val="2"/>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71" w:lineRule="exact"/>
        <w:rPr>
          <w:rFonts w:ascii="Times New Roman" w:cs="Times New Roman" w:eastAsia="Times New Roman" w:hAnsi="Times New Roman"/>
          <w:sz w:val="14"/>
          <w:szCs w:val="14"/>
          <w:color w:val="auto"/>
        </w:rPr>
      </w:pPr>
    </w:p>
    <w:p>
      <w:pPr>
        <w:ind w:left="2840" w:right="579" w:hanging="430"/>
        <w:spacing w:after="0" w:line="291" w:lineRule="auto"/>
        <w:tabs>
          <w:tab w:leader="none" w:pos="2840" w:val="left"/>
        </w:tabs>
        <w:numPr>
          <w:ilvl w:val="2"/>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91"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ind w:left="1280" w:right="159"/>
        <w:spacing w:after="0" w:line="268" w:lineRule="auto"/>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paragraphs (a)(1)(i), (a)(1)(ii) and (a)(1)(iii) do not apply if the information required to be included in a post-effective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amendment by those paragraphs is contained in reports filed with or furnished to the Commission by a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54" w:lineRule="exact"/>
        <w:rPr>
          <w:sz w:val="20"/>
          <w:szCs w:val="20"/>
          <w:color w:val="auto"/>
        </w:rPr>
      </w:pPr>
    </w:p>
    <w:p>
      <w:pPr>
        <w:ind w:left="2060" w:right="159" w:firstLine="1"/>
        <w:spacing w:after="0" w:line="273" w:lineRule="auto"/>
        <w:tabs>
          <w:tab w:leader="none" w:pos="226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50" w:lineRule="exact"/>
        <w:rPr>
          <w:rFonts w:ascii="Times New Roman" w:cs="Times New Roman" w:eastAsia="Times New Roman" w:hAnsi="Times New Roman"/>
          <w:sz w:val="14"/>
          <w:szCs w:val="14"/>
          <w:color w:val="auto"/>
        </w:rPr>
      </w:pPr>
    </w:p>
    <w:p>
      <w:pPr>
        <w:ind w:left="2060" w:right="219" w:firstLine="1"/>
        <w:spacing w:after="0" w:line="291" w:lineRule="auto"/>
        <w:tabs>
          <w:tab w:leader="none" w:pos="226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37" w:lineRule="exact"/>
        <w:rPr>
          <w:rFonts w:ascii="Times New Roman" w:cs="Times New Roman" w:eastAsia="Times New Roman" w:hAnsi="Times New Roman"/>
          <w:sz w:val="14"/>
          <w:szCs w:val="14"/>
          <w:color w:val="auto"/>
        </w:rPr>
      </w:pPr>
    </w:p>
    <w:p>
      <w:pPr>
        <w:ind w:left="2260" w:hanging="199"/>
        <w:spacing w:after="0"/>
        <w:tabs>
          <w:tab w:leader="none" w:pos="2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06" w:lineRule="exact"/>
        <w:rPr>
          <w:rFonts w:ascii="Times New Roman" w:cs="Times New Roman" w:eastAsia="Times New Roman" w:hAnsi="Times New Roman"/>
          <w:sz w:val="14"/>
          <w:szCs w:val="14"/>
          <w:color w:val="auto"/>
        </w:rPr>
      </w:pPr>
    </w:p>
    <w:p>
      <w:pPr>
        <w:ind w:left="2840" w:right="199" w:hanging="430"/>
        <w:spacing w:after="0" w:line="291" w:lineRule="auto"/>
        <w:tabs>
          <w:tab w:leader="none" w:pos="284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48" w:lineRule="exact"/>
        <w:rPr>
          <w:rFonts w:ascii="Times New Roman" w:cs="Times New Roman" w:eastAsia="Times New Roman" w:hAnsi="Times New Roman"/>
          <w:sz w:val="14"/>
          <w:szCs w:val="14"/>
          <w:color w:val="auto"/>
        </w:rPr>
      </w:pPr>
    </w:p>
    <w:p>
      <w:pPr>
        <w:ind w:left="2840" w:right="159" w:hanging="430"/>
        <w:spacing w:after="0" w:line="258" w:lineRule="auto"/>
        <w:tabs>
          <w:tab w:leader="none" w:pos="284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63" w:lineRule="exact"/>
        <w:rPr>
          <w:rFonts w:ascii="Times New Roman" w:cs="Times New Roman" w:eastAsia="Times New Roman" w:hAnsi="Times New Roman"/>
          <w:sz w:val="14"/>
          <w:szCs w:val="14"/>
          <w:color w:val="auto"/>
        </w:rPr>
      </w:pPr>
    </w:p>
    <w:p>
      <w:pPr>
        <w:ind w:left="2060" w:right="339" w:firstLine="1"/>
        <w:spacing w:after="0" w:line="291" w:lineRule="auto"/>
        <w:tabs>
          <w:tab w:leader="none" w:pos="226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a registrant under the Securities Act to any purchaser in the initial distribution of the securities:</w:t>
      </w:r>
    </w:p>
    <w:p>
      <w:pPr>
        <w:spacing w:after="0" w:line="38" w:lineRule="exact"/>
        <w:rPr>
          <w:sz w:val="20"/>
          <w:szCs w:val="20"/>
          <w:color w:val="auto"/>
        </w:rPr>
      </w:pPr>
    </w:p>
    <w:p>
      <w:pPr>
        <w:ind w:left="2840" w:right="279"/>
        <w:spacing w:after="0" w:line="267" w:lineRule="auto"/>
        <w:rPr>
          <w:sz w:val="20"/>
          <w:szCs w:val="20"/>
          <w:color w:val="auto"/>
        </w:rPr>
      </w:pPr>
      <w:r>
        <w:rPr>
          <w:rFonts w:ascii="Times New Roman" w:cs="Times New Roman" w:eastAsia="Times New Roman" w:hAnsi="Times New Roman"/>
          <w:sz w:val="14"/>
          <w:szCs w:val="14"/>
          <w:color w:val="auto"/>
        </w:rPr>
        <w:t>The undersigned registrant undertakes that in a primary offering of securities of such undersigned registrant pursuant to the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w:t>
      </w:r>
    </w:p>
    <w:p>
      <w:pPr>
        <w:spacing w:after="0" w:line="65" w:lineRule="exact"/>
        <w:rPr>
          <w:sz w:val="20"/>
          <w:szCs w:val="20"/>
          <w:color w:val="auto"/>
        </w:rPr>
      </w:pPr>
    </w:p>
    <w:p>
      <w:pPr>
        <w:ind w:left="2840" w:right="199" w:hanging="430"/>
        <w:spacing w:after="0" w:line="291" w:lineRule="auto"/>
        <w:tabs>
          <w:tab w:leader="none" w:pos="28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such undersigned registrant relating to the offering required to be filed pursuant to Rule 424;</w:t>
      </w:r>
    </w:p>
    <w:p>
      <w:pPr>
        <w:spacing w:after="0" w:line="48" w:lineRule="exact"/>
        <w:rPr>
          <w:rFonts w:ascii="Times New Roman" w:cs="Times New Roman" w:eastAsia="Times New Roman" w:hAnsi="Times New Roman"/>
          <w:sz w:val="14"/>
          <w:szCs w:val="14"/>
          <w:color w:val="auto"/>
        </w:rPr>
      </w:pPr>
    </w:p>
    <w:p>
      <w:pPr>
        <w:ind w:left="2840" w:right="599" w:hanging="430"/>
        <w:spacing w:after="0" w:line="291" w:lineRule="auto"/>
        <w:tabs>
          <w:tab w:leader="none" w:pos="28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such undersigned registrant or used or referred to by such undersigned registrant;</w:t>
      </w:r>
    </w:p>
    <w:p>
      <w:pPr>
        <w:spacing w:after="0" w:line="48" w:lineRule="exact"/>
        <w:rPr>
          <w:rFonts w:ascii="Times New Roman" w:cs="Times New Roman" w:eastAsia="Times New Roman" w:hAnsi="Times New Roman"/>
          <w:sz w:val="14"/>
          <w:szCs w:val="14"/>
          <w:color w:val="auto"/>
        </w:rPr>
      </w:pPr>
    </w:p>
    <w:p>
      <w:pPr>
        <w:ind w:left="2840" w:right="759" w:hanging="430"/>
        <w:spacing w:after="0" w:line="291" w:lineRule="auto"/>
        <w:tabs>
          <w:tab w:leader="none" w:pos="28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such undersigned registrant or its securities provided by or on behalf of such undersigned registrant; and</w:t>
      </w:r>
    </w:p>
    <w:p>
      <w:pPr>
        <w:spacing w:after="0" w:line="48" w:lineRule="exact"/>
        <w:rPr>
          <w:rFonts w:ascii="Times New Roman" w:cs="Times New Roman" w:eastAsia="Times New Roman" w:hAnsi="Times New Roman"/>
          <w:sz w:val="14"/>
          <w:szCs w:val="14"/>
          <w:color w:val="auto"/>
        </w:rPr>
      </w:pPr>
    </w:p>
    <w:p>
      <w:pPr>
        <w:ind w:left="2840" w:hanging="430"/>
        <w:spacing w:after="0"/>
        <w:tabs>
          <w:tab w:leader="none" w:pos="28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such undersigned registrant to the purchaser.</w:t>
      </w:r>
    </w:p>
    <w:p>
      <w:pPr>
        <w:spacing w:after="0" w:line="1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91"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9" w:lineRule="exact"/>
        <w:rPr>
          <w:sz w:val="20"/>
          <w:szCs w:val="20"/>
          <w:color w:val="auto"/>
        </w:rPr>
      </w:pPr>
    </w:p>
    <w:p>
      <w:pPr>
        <w:ind w:left="2040" w:right="199" w:hanging="423"/>
        <w:spacing w:after="0" w:line="264" w:lineRule="auto"/>
        <w:tabs>
          <w:tab w:leader="none" w:pos="20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further undertakes that, for purposes of determining any liability under the Securities Act, each filing of a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67" w:lineRule="exact"/>
        <w:rPr>
          <w:rFonts w:ascii="Times New Roman" w:cs="Times New Roman" w:eastAsia="Times New Roman" w:hAnsi="Times New Roman"/>
          <w:sz w:val="14"/>
          <w:szCs w:val="14"/>
          <w:color w:val="auto"/>
        </w:rPr>
      </w:pPr>
    </w:p>
    <w:p>
      <w:pPr>
        <w:ind w:left="2040" w:right="259" w:hanging="423"/>
        <w:spacing w:after="0" w:line="260" w:lineRule="auto"/>
        <w:tabs>
          <w:tab w:leader="none" w:pos="20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a registrant of expenses incurred or paid by a director, officer or controlling person of such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1" w:lineRule="exact"/>
        <w:rPr>
          <w:rFonts w:ascii="Times New Roman" w:cs="Times New Roman" w:eastAsia="Times New Roman" w:hAnsi="Times New Roman"/>
          <w:sz w:val="14"/>
          <w:szCs w:val="14"/>
          <w:color w:val="auto"/>
        </w:rPr>
      </w:pPr>
    </w:p>
    <w:p>
      <w:pPr>
        <w:jc w:val="both"/>
        <w:ind w:left="2040" w:right="219" w:hanging="423"/>
        <w:spacing w:after="0" w:line="273" w:lineRule="auto"/>
        <w:tabs>
          <w:tab w:leader="none" w:pos="20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8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91"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tbl>
      <w:tblPr>
        <w:tblLayout w:type="fixed"/>
        <w:tblInd w:w="1280" w:type="dxa"/>
        <w:tblCellMar>
          <w:top w:w="0" w:type="dxa"/>
          <w:left w:w="0" w:type="dxa"/>
          <w:bottom w:w="0" w:type="dxa"/>
          <w:right w:w="0" w:type="dxa"/>
        </w:tblCellMar>
      </w:tblPr>
      <w:tr>
        <w:trPr>
          <w:trHeight w:val="187"/>
        </w:trPr>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560" w:type="dxa"/>
            <w:vAlign w:val="bottom"/>
            <w:gridSpan w:val="14"/>
          </w:tcPr>
          <w:p>
            <w:pPr>
              <w:ind w:left="64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322"/>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6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12"/>
          </w:tcPr>
          <w:p>
            <w:pPr>
              <w:ind w:left="10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36"/>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1.1</w:t>
            </w:r>
          </w:p>
        </w:tc>
        <w:tc>
          <w:tcPr>
            <w:tcW w:w="600" w:type="dxa"/>
            <w:vAlign w:val="bottom"/>
          </w:tcPr>
          <w:p>
            <w:pPr>
              <w:spacing w:after="0"/>
              <w:rPr>
                <w:sz w:val="20"/>
                <w:szCs w:val="20"/>
                <w:color w:val="auto"/>
              </w:rPr>
            </w:pPr>
          </w:p>
        </w:tc>
        <w:tc>
          <w:tcPr>
            <w:tcW w:w="758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Form of underwriting agreement for debt securities.*</w:t>
            </w:r>
          </w:p>
        </w:tc>
      </w:tr>
      <w:tr>
        <w:trPr>
          <w:trHeight w:val="257"/>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1.2</w:t>
            </w:r>
          </w:p>
        </w:tc>
        <w:tc>
          <w:tcPr>
            <w:tcW w:w="600" w:type="dxa"/>
            <w:vAlign w:val="bottom"/>
          </w:tcPr>
          <w:p>
            <w:pPr>
              <w:spacing w:after="0"/>
              <w:rPr>
                <w:sz w:val="22"/>
                <w:szCs w:val="22"/>
                <w:color w:val="auto"/>
              </w:rPr>
            </w:pPr>
          </w:p>
        </w:tc>
        <w:tc>
          <w:tcPr>
            <w:tcW w:w="758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Form of underwriting agreement for equity securities.*</w:t>
            </w:r>
          </w:p>
        </w:tc>
      </w:tr>
      <w:tr>
        <w:trPr>
          <w:trHeight w:val="257"/>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1.3</w:t>
            </w:r>
          </w:p>
        </w:tc>
        <w:tc>
          <w:tcPr>
            <w:tcW w:w="600" w:type="dxa"/>
            <w:vAlign w:val="bottom"/>
          </w:tcPr>
          <w:p>
            <w:pPr>
              <w:spacing w:after="0"/>
              <w:rPr>
                <w:sz w:val="22"/>
                <w:szCs w:val="22"/>
                <w:color w:val="auto"/>
              </w:rPr>
            </w:pPr>
          </w:p>
        </w:tc>
        <w:tc>
          <w:tcPr>
            <w:tcW w:w="758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Form of underwriting agreement for depositary shares.*</w:t>
            </w:r>
          </w:p>
        </w:tc>
      </w:tr>
      <w:tr>
        <w:trPr>
          <w:trHeight w:val="257"/>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1.4</w:t>
            </w:r>
          </w:p>
        </w:tc>
        <w:tc>
          <w:tcPr>
            <w:tcW w:w="600" w:type="dxa"/>
            <w:vAlign w:val="bottom"/>
          </w:tcPr>
          <w:p>
            <w:pPr>
              <w:spacing w:after="0"/>
              <w:rPr>
                <w:sz w:val="22"/>
                <w:szCs w:val="22"/>
                <w:color w:val="auto"/>
              </w:rPr>
            </w:pPr>
          </w:p>
        </w:tc>
        <w:tc>
          <w:tcPr>
            <w:tcW w:w="758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Form of underwriting agreement for purchase contracts.*</w:t>
            </w:r>
          </w:p>
        </w:tc>
      </w:tr>
      <w:tr>
        <w:trPr>
          <w:trHeight w:val="257"/>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1.5</w:t>
            </w:r>
          </w:p>
        </w:tc>
        <w:tc>
          <w:tcPr>
            <w:tcW w:w="600" w:type="dxa"/>
            <w:vAlign w:val="bottom"/>
          </w:tcPr>
          <w:p>
            <w:pPr>
              <w:spacing w:after="0"/>
              <w:rPr>
                <w:sz w:val="22"/>
                <w:szCs w:val="22"/>
                <w:color w:val="auto"/>
              </w:rPr>
            </w:pPr>
          </w:p>
        </w:tc>
        <w:tc>
          <w:tcPr>
            <w:tcW w:w="758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Form of underwriting agreement for units.*</w:t>
            </w:r>
          </w:p>
        </w:tc>
      </w:tr>
      <w:tr>
        <w:trPr>
          <w:trHeight w:val="226"/>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3.1</w:t>
            </w:r>
          </w:p>
        </w:tc>
        <w:tc>
          <w:tcPr>
            <w:tcW w:w="600" w:type="dxa"/>
            <w:vAlign w:val="bottom"/>
          </w:tcPr>
          <w:p>
            <w:pPr>
              <w:spacing w:after="0"/>
              <w:rPr>
                <w:sz w:val="19"/>
                <w:szCs w:val="19"/>
                <w:color w:val="auto"/>
              </w:rPr>
            </w:pPr>
          </w:p>
        </w:tc>
        <w:tc>
          <w:tcPr>
            <w:tcW w:w="704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rPr>
            </w:pPr>
            <w:hyperlink r:id="rId71">
              <w:r>
                <w:rPr>
                  <w:rFonts w:ascii="Times New Roman" w:cs="Times New Roman" w:eastAsia="Times New Roman" w:hAnsi="Times New Roman"/>
                  <w:sz w:val="14"/>
                  <w:szCs w:val="14"/>
                  <w:color w:val="0000EE"/>
                </w:rPr>
                <w:t>Amended and Restated Certificate of Incorporation of the Registrant (incorporated herein by reference to Exhibit 3.1 to the</w:t>
              </w:r>
            </w:hyperlink>
          </w:p>
        </w:tc>
        <w:tc>
          <w:tcPr>
            <w:tcW w:w="540" w:type="dxa"/>
            <w:vAlign w:val="bottom"/>
            <w:gridSpan w:val="4"/>
          </w:tcPr>
          <w:p>
            <w:pPr>
              <w:spacing w:after="0"/>
              <w:rPr>
                <w:sz w:val="19"/>
                <w:szCs w:val="19"/>
                <w:color w:val="auto"/>
              </w:rPr>
            </w:pPr>
          </w:p>
        </w:tc>
      </w:tr>
      <w:tr>
        <w:trPr>
          <w:trHeight w:val="151"/>
        </w:trPr>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580" w:type="dxa"/>
            <w:vAlign w:val="bottom"/>
            <w:gridSpan w:val="16"/>
          </w:tcPr>
          <w:p>
            <w:pPr>
              <w:spacing w:after="0" w:line="151" w:lineRule="exact"/>
              <w:rPr>
                <w:rFonts w:ascii="Times New Roman" w:cs="Times New Roman" w:eastAsia="Times New Roman" w:hAnsi="Times New Roman"/>
                <w:sz w:val="14"/>
                <w:szCs w:val="14"/>
                <w:color w:val="0000EE"/>
              </w:rPr>
            </w:pPr>
            <w:hyperlink r:id="rId71">
              <w:r>
                <w:rPr>
                  <w:rFonts w:ascii="Times New Roman" w:cs="Times New Roman" w:eastAsia="Times New Roman" w:hAnsi="Times New Roman"/>
                  <w:sz w:val="14"/>
                  <w:szCs w:val="14"/>
                  <w:color w:val="0000EE"/>
                </w:rPr>
                <w:t>Registrant’s Form 8-K filed on March 30, 2021).</w:t>
              </w:r>
            </w:hyperlink>
          </w:p>
        </w:tc>
      </w:tr>
      <w:tr>
        <w:trPr>
          <w:trHeight w:val="20"/>
        </w:trPr>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3.2</w:t>
            </w:r>
          </w:p>
        </w:tc>
        <w:tc>
          <w:tcPr>
            <w:tcW w:w="600" w:type="dxa"/>
            <w:vAlign w:val="bottom"/>
          </w:tcPr>
          <w:p>
            <w:pPr>
              <w:spacing w:after="0"/>
              <w:rPr>
                <w:sz w:val="20"/>
                <w:szCs w:val="20"/>
                <w:color w:val="auto"/>
              </w:rPr>
            </w:pPr>
          </w:p>
        </w:tc>
        <w:tc>
          <w:tcPr>
            <w:tcW w:w="7580" w:type="dxa"/>
            <w:vAlign w:val="bottom"/>
            <w:gridSpan w:val="16"/>
          </w:tcPr>
          <w:p>
            <w:pPr>
              <w:spacing w:after="0"/>
              <w:rPr>
                <w:rFonts w:ascii="Times New Roman" w:cs="Times New Roman" w:eastAsia="Times New Roman" w:hAnsi="Times New Roman"/>
                <w:sz w:val="14"/>
                <w:szCs w:val="14"/>
                <w:color w:val="0000EE"/>
              </w:rPr>
            </w:pPr>
            <w:hyperlink r:id="rId72">
              <w:r>
                <w:rPr>
                  <w:rFonts w:ascii="Times New Roman" w:cs="Times New Roman" w:eastAsia="Times New Roman" w:hAnsi="Times New Roman"/>
                  <w:sz w:val="14"/>
                  <w:szCs w:val="14"/>
                  <w:color w:val="0000EE"/>
                </w:rPr>
                <w:t>Certificate of Amendment to Amended and Restated Certificate of Incorporation of the Registrant, dated June 11, 2024</w:t>
              </w:r>
            </w:hyperlink>
          </w:p>
        </w:tc>
      </w:tr>
      <w:tr>
        <w:trPr>
          <w:trHeight w:val="151"/>
        </w:trPr>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0" w:type="dxa"/>
            <w:vAlign w:val="bottom"/>
            <w:tcBorders>
              <w:top w:val="single" w:sz="8" w:color="0000EE"/>
            </w:tcBorders>
            <w:gridSpan w:val="10"/>
          </w:tcPr>
          <w:p>
            <w:pPr>
              <w:spacing w:after="0" w:line="151" w:lineRule="exact"/>
              <w:rPr>
                <w:rFonts w:ascii="Times New Roman" w:cs="Times New Roman" w:eastAsia="Times New Roman" w:hAnsi="Times New Roman"/>
                <w:sz w:val="14"/>
                <w:szCs w:val="14"/>
                <w:color w:val="0000EE"/>
              </w:rPr>
            </w:pPr>
            <w:hyperlink r:id="rId72">
              <w:r>
                <w:rPr>
                  <w:rFonts w:ascii="Times New Roman" w:cs="Times New Roman" w:eastAsia="Times New Roman" w:hAnsi="Times New Roman"/>
                  <w:sz w:val="14"/>
                  <w:szCs w:val="14"/>
                  <w:color w:val="0000EE"/>
                </w:rPr>
                <w:t>(incorporated herein by reference to Exhibit 99.1 to the Registrant’s Form 8-K filed on June 13, 2024).</w:t>
              </w:r>
            </w:hyperlink>
          </w:p>
        </w:tc>
        <w:tc>
          <w:tcPr>
            <w:tcW w:w="780" w:type="dxa"/>
            <w:vAlign w:val="bottom"/>
            <w:gridSpan w:val="6"/>
          </w:tcPr>
          <w:p>
            <w:pPr>
              <w:spacing w:after="0"/>
              <w:rPr>
                <w:sz w:val="13"/>
                <w:szCs w:val="13"/>
                <w:color w:val="auto"/>
              </w:rPr>
            </w:pPr>
          </w:p>
        </w:tc>
      </w:tr>
      <w:tr>
        <w:trPr>
          <w:trHeight w:val="20"/>
        </w:trPr>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3.3</w:t>
            </w:r>
          </w:p>
        </w:tc>
        <w:tc>
          <w:tcPr>
            <w:tcW w:w="600" w:type="dxa"/>
            <w:vAlign w:val="bottom"/>
          </w:tcPr>
          <w:p>
            <w:pPr>
              <w:spacing w:after="0"/>
              <w:rPr>
                <w:sz w:val="20"/>
                <w:szCs w:val="20"/>
                <w:color w:val="auto"/>
              </w:rPr>
            </w:pPr>
          </w:p>
        </w:tc>
        <w:tc>
          <w:tcPr>
            <w:tcW w:w="734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Amended and Restated By-laws of the Registrant (incorporated herein by reference to Exhibit 3.2 to the Registrant’s Form 10-K</w:t>
              </w:r>
            </w:hyperlink>
          </w:p>
        </w:tc>
        <w:tc>
          <w:tcPr>
            <w:tcW w:w="240" w:type="dxa"/>
            <w:vAlign w:val="bottom"/>
            <w:gridSpan w:val="3"/>
          </w:tcPr>
          <w:p>
            <w:pPr>
              <w:spacing w:after="0"/>
              <w:rPr>
                <w:sz w:val="20"/>
                <w:szCs w:val="20"/>
                <w:color w:val="auto"/>
              </w:rPr>
            </w:pPr>
          </w:p>
        </w:tc>
      </w:tr>
      <w:tr>
        <w:trPr>
          <w:trHeight w:val="151"/>
        </w:trPr>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20" w:type="dxa"/>
            <w:vAlign w:val="bottom"/>
            <w:tcBorders>
              <w:bottom w:val="single" w:sz="8" w:color="0000EE"/>
            </w:tcBorders>
          </w:tcPr>
          <w:p>
            <w:pPr>
              <w:spacing w:after="0" w:line="151" w:lineRule="exact"/>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filed on February 27, 2024).</w:t>
              </w:r>
            </w:hyperlink>
          </w:p>
        </w:tc>
        <w:tc>
          <w:tcPr>
            <w:tcW w:w="5960" w:type="dxa"/>
            <w:vAlign w:val="bottom"/>
            <w:gridSpan w:val="15"/>
          </w:tcPr>
          <w:p>
            <w:pPr>
              <w:spacing w:after="0"/>
              <w:rPr>
                <w:sz w:val="13"/>
                <w:szCs w:val="13"/>
                <w:color w:val="auto"/>
              </w:rPr>
            </w:pPr>
          </w:p>
        </w:tc>
      </w:tr>
      <w:tr>
        <w:trPr>
          <w:trHeight w:val="237"/>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600" w:type="dxa"/>
            <w:vAlign w:val="bottom"/>
          </w:tcPr>
          <w:p>
            <w:pPr>
              <w:spacing w:after="0"/>
              <w:rPr>
                <w:sz w:val="20"/>
                <w:szCs w:val="20"/>
                <w:color w:val="auto"/>
              </w:rPr>
            </w:pPr>
          </w:p>
        </w:tc>
        <w:tc>
          <w:tcPr>
            <w:tcW w:w="7580" w:type="dxa"/>
            <w:vAlign w:val="bottom"/>
            <w:gridSpan w:val="16"/>
          </w:tcPr>
          <w:p>
            <w:pPr>
              <w:spacing w:after="0"/>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Form of Indenture (incorporated herein by reference to Exhibit 4.1 to the Company’s Registration Statement on Form S-3ASR filed</w:t>
              </w:r>
            </w:hyperlink>
          </w:p>
        </w:tc>
      </w:tr>
      <w:tr>
        <w:trPr>
          <w:trHeight w:val="151"/>
        </w:trPr>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40" w:type="dxa"/>
            <w:vAlign w:val="bottom"/>
            <w:tcBorders>
              <w:top w:val="single" w:sz="8" w:color="0000EE"/>
              <w:bottom w:val="single" w:sz="8" w:color="0000EE"/>
            </w:tcBorders>
            <w:gridSpan w:val="14"/>
          </w:tcPr>
          <w:p>
            <w:pPr>
              <w:spacing w:after="0" w:line="151" w:lineRule="exact"/>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on September 15, 2022) (if debt securities are offered by a supplement to this Registration Statement, the Registrant will file with</w:t>
              </w:r>
            </w:hyperlink>
          </w:p>
        </w:tc>
        <w:tc>
          <w:tcPr>
            <w:tcW w:w="80" w:type="dxa"/>
            <w:vAlign w:val="bottom"/>
            <w:tcBorders>
              <w:top w:val="single" w:sz="8" w:color="0000EE"/>
            </w:tcBorders>
          </w:tcPr>
          <w:p>
            <w:pPr>
              <w:spacing w:after="0"/>
              <w:rPr>
                <w:sz w:val="13"/>
                <w:szCs w:val="13"/>
                <w:color w:val="auto"/>
              </w:rPr>
            </w:pPr>
          </w:p>
        </w:tc>
        <w:tc>
          <w:tcPr>
            <w:tcW w:w="60" w:type="dxa"/>
            <w:vAlign w:val="bottom"/>
          </w:tcPr>
          <w:p>
            <w:pPr>
              <w:spacing w:after="0"/>
              <w:rPr>
                <w:sz w:val="13"/>
                <w:szCs w:val="13"/>
                <w:color w:val="auto"/>
              </w:rPr>
            </w:pPr>
          </w:p>
        </w:tc>
      </w:tr>
      <w:tr>
        <w:trPr>
          <w:trHeight w:val="151"/>
        </w:trPr>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760" w:type="dxa"/>
            <w:vAlign w:val="bottom"/>
            <w:tcBorders>
              <w:bottom w:val="single" w:sz="8" w:color="0000EE"/>
            </w:tcBorders>
            <w:gridSpan w:val="5"/>
          </w:tcPr>
          <w:p>
            <w:pPr>
              <w:spacing w:after="0" w:line="151" w:lineRule="exact"/>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the Commission a trustee’s Statement of Eligibility on Form T-1).</w:t>
              </w:r>
            </w:hyperlink>
          </w:p>
        </w:tc>
        <w:tc>
          <w:tcPr>
            <w:tcW w:w="3820" w:type="dxa"/>
            <w:vAlign w:val="bottom"/>
            <w:gridSpan w:val="11"/>
          </w:tcPr>
          <w:p>
            <w:pPr>
              <w:spacing w:after="0"/>
              <w:rPr>
                <w:sz w:val="13"/>
                <w:szCs w:val="13"/>
                <w:color w:val="auto"/>
              </w:rPr>
            </w:pPr>
          </w:p>
        </w:tc>
      </w:tr>
      <w:tr>
        <w:trPr>
          <w:trHeight w:val="237"/>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4.2</w:t>
            </w:r>
          </w:p>
        </w:tc>
        <w:tc>
          <w:tcPr>
            <w:tcW w:w="600" w:type="dxa"/>
            <w:vAlign w:val="bottom"/>
          </w:tcPr>
          <w:p>
            <w:pPr>
              <w:spacing w:after="0"/>
              <w:rPr>
                <w:sz w:val="20"/>
                <w:szCs w:val="20"/>
                <w:color w:val="auto"/>
              </w:rPr>
            </w:pPr>
          </w:p>
        </w:tc>
        <w:tc>
          <w:tcPr>
            <w:tcW w:w="694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rPr>
            </w:pPr>
            <w:hyperlink r:id="rId75">
              <w:r>
                <w:rPr>
                  <w:rFonts w:ascii="Times New Roman" w:cs="Times New Roman" w:eastAsia="Times New Roman" w:hAnsi="Times New Roman"/>
                  <w:sz w:val="14"/>
                  <w:szCs w:val="14"/>
                  <w:color w:val="0000EE"/>
                </w:rPr>
                <w:t>Registration Rights Agreement, dated as of March 30, 2021, among the Registrant and the other signatories party thereto</w:t>
              </w:r>
            </w:hyperlink>
          </w:p>
        </w:tc>
        <w:tc>
          <w:tcPr>
            <w:tcW w:w="640" w:type="dxa"/>
            <w:vAlign w:val="bottom"/>
            <w:gridSpan w:val="5"/>
          </w:tcPr>
          <w:p>
            <w:pPr>
              <w:spacing w:after="0"/>
              <w:rPr>
                <w:sz w:val="20"/>
                <w:szCs w:val="20"/>
                <w:color w:val="auto"/>
              </w:rPr>
            </w:pPr>
          </w:p>
        </w:tc>
      </w:tr>
      <w:tr>
        <w:trPr>
          <w:trHeight w:val="151"/>
        </w:trPr>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580" w:type="dxa"/>
            <w:vAlign w:val="bottom"/>
            <w:gridSpan w:val="16"/>
          </w:tcPr>
          <w:p>
            <w:pPr>
              <w:spacing w:after="0" w:line="151" w:lineRule="exact"/>
              <w:rPr>
                <w:rFonts w:ascii="Times New Roman" w:cs="Times New Roman" w:eastAsia="Times New Roman" w:hAnsi="Times New Roman"/>
                <w:sz w:val="14"/>
                <w:szCs w:val="14"/>
                <w:color w:val="0000EE"/>
              </w:rPr>
            </w:pPr>
            <w:hyperlink r:id="rId75">
              <w:r>
                <w:rPr>
                  <w:rFonts w:ascii="Times New Roman" w:cs="Times New Roman" w:eastAsia="Times New Roman" w:hAnsi="Times New Roman"/>
                  <w:sz w:val="14"/>
                  <w:szCs w:val="14"/>
                  <w:color w:val="0000EE"/>
                </w:rPr>
                <w:t>(incorporated herein by reference to Exhibit 4.1 to the Registrant’s Form 8-K filed on March 30, 2021).</w:t>
              </w:r>
            </w:hyperlink>
          </w:p>
        </w:tc>
      </w:tr>
      <w:tr>
        <w:trPr>
          <w:trHeight w:val="268"/>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4.3</w:t>
            </w:r>
          </w:p>
        </w:tc>
        <w:tc>
          <w:tcPr>
            <w:tcW w:w="600" w:type="dxa"/>
            <w:vAlign w:val="bottom"/>
          </w:tcPr>
          <w:p>
            <w:pPr>
              <w:spacing w:after="0"/>
              <w:rPr>
                <w:sz w:val="23"/>
                <w:szCs w:val="23"/>
                <w:color w:val="auto"/>
              </w:rPr>
            </w:pPr>
          </w:p>
        </w:tc>
        <w:tc>
          <w:tcPr>
            <w:tcW w:w="590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auto"/>
              </w:rPr>
              <w:t>Specimen Stock Certificate.*</w:t>
            </w:r>
          </w:p>
        </w:tc>
        <w:tc>
          <w:tcPr>
            <w:tcW w:w="1680" w:type="dxa"/>
            <w:vAlign w:val="bottom"/>
            <w:gridSpan w:val="7"/>
          </w:tcPr>
          <w:p>
            <w:pPr>
              <w:spacing w:after="0"/>
              <w:rPr>
                <w:sz w:val="23"/>
                <w:szCs w:val="23"/>
                <w:color w:val="auto"/>
              </w:rPr>
            </w:pPr>
          </w:p>
        </w:tc>
      </w:tr>
      <w:tr>
        <w:trPr>
          <w:trHeight w:val="257"/>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4.4</w:t>
            </w:r>
          </w:p>
        </w:tc>
        <w:tc>
          <w:tcPr>
            <w:tcW w:w="600" w:type="dxa"/>
            <w:vAlign w:val="bottom"/>
          </w:tcPr>
          <w:p>
            <w:pPr>
              <w:spacing w:after="0"/>
              <w:rPr>
                <w:sz w:val="22"/>
                <w:szCs w:val="22"/>
                <w:color w:val="auto"/>
              </w:rPr>
            </w:pPr>
          </w:p>
        </w:tc>
        <w:tc>
          <w:tcPr>
            <w:tcW w:w="758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Form of Warrant Agreement.*</w:t>
            </w:r>
          </w:p>
        </w:tc>
      </w:tr>
      <w:tr>
        <w:trPr>
          <w:trHeight w:val="257"/>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4.5</w:t>
            </w:r>
          </w:p>
        </w:tc>
        <w:tc>
          <w:tcPr>
            <w:tcW w:w="600" w:type="dxa"/>
            <w:vAlign w:val="bottom"/>
          </w:tcPr>
          <w:p>
            <w:pPr>
              <w:spacing w:after="0"/>
              <w:rPr>
                <w:sz w:val="22"/>
                <w:szCs w:val="22"/>
                <w:color w:val="auto"/>
              </w:rPr>
            </w:pPr>
          </w:p>
        </w:tc>
        <w:tc>
          <w:tcPr>
            <w:tcW w:w="758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Form of Warrant.*</w:t>
            </w:r>
          </w:p>
        </w:tc>
      </w:tr>
      <w:tr>
        <w:trPr>
          <w:trHeight w:val="257"/>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4.6</w:t>
            </w:r>
          </w:p>
        </w:tc>
        <w:tc>
          <w:tcPr>
            <w:tcW w:w="600" w:type="dxa"/>
            <w:vAlign w:val="bottom"/>
          </w:tcPr>
          <w:p>
            <w:pPr>
              <w:spacing w:after="0"/>
              <w:rPr>
                <w:sz w:val="22"/>
                <w:szCs w:val="22"/>
                <w:color w:val="auto"/>
              </w:rPr>
            </w:pPr>
          </w:p>
        </w:tc>
        <w:tc>
          <w:tcPr>
            <w:tcW w:w="758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Form of Deposit Agreement.*</w:t>
            </w:r>
          </w:p>
        </w:tc>
      </w:tr>
      <w:tr>
        <w:trPr>
          <w:trHeight w:val="257"/>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4.7</w:t>
            </w:r>
          </w:p>
        </w:tc>
        <w:tc>
          <w:tcPr>
            <w:tcW w:w="600" w:type="dxa"/>
            <w:vAlign w:val="bottom"/>
          </w:tcPr>
          <w:p>
            <w:pPr>
              <w:spacing w:after="0"/>
              <w:rPr>
                <w:sz w:val="22"/>
                <w:szCs w:val="22"/>
                <w:color w:val="auto"/>
              </w:rPr>
            </w:pPr>
          </w:p>
        </w:tc>
        <w:tc>
          <w:tcPr>
            <w:tcW w:w="758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Form of Depositary Receipt.*</w:t>
            </w:r>
          </w:p>
        </w:tc>
      </w:tr>
      <w:tr>
        <w:trPr>
          <w:trHeight w:val="257"/>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4.8</w:t>
            </w:r>
          </w:p>
        </w:tc>
        <w:tc>
          <w:tcPr>
            <w:tcW w:w="600" w:type="dxa"/>
            <w:vAlign w:val="bottom"/>
          </w:tcPr>
          <w:p>
            <w:pPr>
              <w:spacing w:after="0"/>
              <w:rPr>
                <w:sz w:val="22"/>
                <w:szCs w:val="22"/>
                <w:color w:val="auto"/>
              </w:rPr>
            </w:pPr>
          </w:p>
        </w:tc>
        <w:tc>
          <w:tcPr>
            <w:tcW w:w="758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Form of Stock Purchase Contract.*</w:t>
            </w:r>
          </w:p>
        </w:tc>
      </w:tr>
      <w:tr>
        <w:trPr>
          <w:trHeight w:val="257"/>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4.9</w:t>
            </w:r>
          </w:p>
        </w:tc>
        <w:tc>
          <w:tcPr>
            <w:tcW w:w="600" w:type="dxa"/>
            <w:vAlign w:val="bottom"/>
          </w:tcPr>
          <w:p>
            <w:pPr>
              <w:spacing w:after="0"/>
              <w:rPr>
                <w:sz w:val="22"/>
                <w:szCs w:val="22"/>
                <w:color w:val="auto"/>
              </w:rPr>
            </w:pPr>
          </w:p>
        </w:tc>
        <w:tc>
          <w:tcPr>
            <w:tcW w:w="758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Form of Unit Agreement.*</w:t>
            </w:r>
          </w:p>
        </w:tc>
      </w:tr>
      <w:tr>
        <w:trPr>
          <w:trHeight w:val="226"/>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5.1</w:t>
            </w:r>
          </w:p>
        </w:tc>
        <w:tc>
          <w:tcPr>
            <w:tcW w:w="600" w:type="dxa"/>
            <w:vAlign w:val="bottom"/>
          </w:tcPr>
          <w:p>
            <w:pPr>
              <w:spacing w:after="0"/>
              <w:rPr>
                <w:sz w:val="19"/>
                <w:szCs w:val="19"/>
                <w:color w:val="auto"/>
              </w:rPr>
            </w:pPr>
          </w:p>
        </w:tc>
        <w:tc>
          <w:tcPr>
            <w:tcW w:w="34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rPr>
              <w:t>Opinion of Paul, Weiss, Rifkind, Wharton &amp; Garrison LLP.</w:t>
            </w:r>
          </w:p>
        </w:tc>
        <w:tc>
          <w:tcPr>
            <w:tcW w:w="4180" w:type="dxa"/>
            <w:vAlign w:val="bottom"/>
            <w:gridSpan w:val="12"/>
          </w:tcPr>
          <w:p>
            <w:pPr>
              <w:spacing w:after="0"/>
              <w:rPr>
                <w:sz w:val="19"/>
                <w:szCs w:val="19"/>
                <w:color w:val="auto"/>
              </w:rPr>
            </w:pPr>
          </w:p>
        </w:tc>
      </w:tr>
      <w:tr>
        <w:trPr>
          <w:trHeight w:val="237"/>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23.1</w:t>
            </w:r>
          </w:p>
        </w:tc>
        <w:tc>
          <w:tcPr>
            <w:tcW w:w="600" w:type="dxa"/>
            <w:vAlign w:val="bottom"/>
          </w:tcPr>
          <w:p>
            <w:pPr>
              <w:spacing w:after="0"/>
              <w:rPr>
                <w:sz w:val="20"/>
                <w:szCs w:val="20"/>
                <w:color w:val="auto"/>
              </w:rPr>
            </w:pPr>
          </w:p>
        </w:tc>
        <w:tc>
          <w:tcPr>
            <w:tcW w:w="7580" w:type="dxa"/>
            <w:vAlign w:val="bottom"/>
            <w:gridSpan w:val="16"/>
          </w:tcPr>
          <w:p>
            <w:pPr>
              <w:spacing w:after="0"/>
              <w:rPr>
                <w:sz w:val="20"/>
                <w:szCs w:val="20"/>
                <w:color w:val="auto"/>
              </w:rPr>
            </w:pPr>
            <w:r>
              <w:rPr>
                <w:rFonts w:ascii="Times New Roman" w:cs="Times New Roman" w:eastAsia="Times New Roman" w:hAnsi="Times New Roman"/>
                <w:sz w:val="14"/>
                <w:szCs w:val="14"/>
                <w:color w:val="0000EE"/>
              </w:rPr>
              <w:t>Consent of Deloitte &amp; Touche LLP.</w:t>
            </w:r>
          </w:p>
        </w:tc>
      </w:tr>
      <w:tr>
        <w:trPr>
          <w:trHeight w:val="20"/>
        </w:trPr>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00" w:type="dxa"/>
            <w:vAlign w:val="bottom"/>
            <w:gridSpan w:val="9"/>
          </w:tcPr>
          <w:p>
            <w:pPr>
              <w:spacing w:after="0" w:line="20" w:lineRule="exact"/>
              <w:rPr>
                <w:sz w:val="1"/>
                <w:szCs w:val="1"/>
                <w:color w:val="auto"/>
              </w:rPr>
            </w:pPr>
          </w:p>
        </w:tc>
      </w:tr>
      <w:tr>
        <w:trPr>
          <w:trHeight w:val="237"/>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23.2</w:t>
            </w:r>
          </w:p>
        </w:tc>
        <w:tc>
          <w:tcPr>
            <w:tcW w:w="600" w:type="dxa"/>
            <w:vAlign w:val="bottom"/>
          </w:tcPr>
          <w:p>
            <w:pPr>
              <w:spacing w:after="0"/>
              <w:rPr>
                <w:sz w:val="20"/>
                <w:szCs w:val="20"/>
                <w:color w:val="auto"/>
              </w:rPr>
            </w:pPr>
          </w:p>
        </w:tc>
        <w:tc>
          <w:tcPr>
            <w:tcW w:w="7580" w:type="dxa"/>
            <w:vAlign w:val="bottom"/>
            <w:gridSpan w:val="16"/>
          </w:tcPr>
          <w:p>
            <w:pPr>
              <w:spacing w:after="0"/>
              <w:rPr>
                <w:sz w:val="20"/>
                <w:szCs w:val="20"/>
                <w:color w:val="auto"/>
              </w:rPr>
            </w:pPr>
            <w:r>
              <w:rPr>
                <w:rFonts w:ascii="Times New Roman" w:cs="Times New Roman" w:eastAsia="Times New Roman" w:hAnsi="Times New Roman"/>
                <w:sz w:val="14"/>
                <w:szCs w:val="14"/>
                <w:color w:val="0000EE"/>
              </w:rPr>
              <w:t>Consent of Paul, Weiss, Rifkind, Wharton &amp; Garrison LLP (contained in exhibit 5.1).</w:t>
            </w:r>
          </w:p>
        </w:tc>
      </w:tr>
      <w:tr>
        <w:trPr>
          <w:trHeight w:val="237"/>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24.1</w:t>
            </w:r>
          </w:p>
        </w:tc>
        <w:tc>
          <w:tcPr>
            <w:tcW w:w="600" w:type="dxa"/>
            <w:vAlign w:val="bottom"/>
          </w:tcPr>
          <w:p>
            <w:pPr>
              <w:spacing w:after="0"/>
              <w:rPr>
                <w:sz w:val="20"/>
                <w:szCs w:val="20"/>
                <w:color w:val="auto"/>
              </w:rPr>
            </w:pPr>
          </w:p>
        </w:tc>
        <w:tc>
          <w:tcPr>
            <w:tcW w:w="48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rPr>
              <w:t>Powers of attorney related to the Company (included in signature page).</w:t>
            </w:r>
          </w:p>
        </w:tc>
        <w:tc>
          <w:tcPr>
            <w:tcW w:w="2700" w:type="dxa"/>
            <w:vAlign w:val="bottom"/>
            <w:gridSpan w:val="9"/>
          </w:tcPr>
          <w:p>
            <w:pPr>
              <w:spacing w:after="0"/>
              <w:rPr>
                <w:sz w:val="20"/>
                <w:szCs w:val="20"/>
                <w:color w:val="auto"/>
              </w:rPr>
            </w:pPr>
          </w:p>
        </w:tc>
      </w:tr>
      <w:tr>
        <w:trPr>
          <w:trHeight w:val="20"/>
        </w:trPr>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2" w:lineRule="exact"/>
        <w:rPr>
          <w:sz w:val="20"/>
          <w:szCs w:val="20"/>
          <w:color w:val="auto"/>
        </w:rPr>
      </w:pPr>
    </w:p>
    <w:p>
      <w:pPr>
        <w:ind w:left="2440" w:hanging="1165"/>
        <w:spacing w:after="0"/>
        <w:tabs>
          <w:tab w:leader="none" w:pos="24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812800</wp:posOffset>
            </wp:positionH>
            <wp:positionV relativeFrom="paragraph">
              <wp:posOffset>83820</wp:posOffset>
            </wp:positionV>
            <wp:extent cx="60515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605155" cy="6985"/>
                    </a:xfrm>
                    <a:prstGeom prst="rect">
                      <a:avLst/>
                    </a:prstGeom>
                    <a:noFill/>
                  </pic:spPr>
                </pic:pic>
              </a:graphicData>
            </a:graphic>
          </wp:anchor>
        </w:drawing>
      </w:r>
    </w:p>
    <w:p>
      <w:pPr>
        <w:spacing w:after="0" w:line="140" w:lineRule="exact"/>
        <w:rPr>
          <w:sz w:val="20"/>
          <w:szCs w:val="20"/>
          <w:color w:val="auto"/>
        </w:rPr>
      </w:pPr>
    </w:p>
    <w:p>
      <w:pPr>
        <w:ind w:left="5540" w:right="2479" w:hanging="4265"/>
        <w:spacing w:after="0" w:line="467" w:lineRule="auto"/>
        <w:tabs>
          <w:tab w:leader="none" w:pos="1449"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Current Report on Form 8-K at the time of issuance and incorporated by reference, if required. II-5</w:t>
      </w:r>
    </w:p>
    <w:p>
      <w:pPr>
        <w:sectPr>
          <w:pgSz w:w="11900" w:h="16838" w:orient="portrait"/>
          <w:cols w:equalWidth="0" w:num="1">
            <w:col w:w="10159"/>
          </w:cols>
          <w:pgMar w:left="300" w:top="391"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4" w:lineRule="exact"/>
        <w:rPr>
          <w:sz w:val="20"/>
          <w:szCs w:val="20"/>
          <w:color w:val="auto"/>
        </w:rPr>
      </w:pPr>
    </w:p>
    <w:p>
      <w:pPr>
        <w:jc w:val="both"/>
        <w:ind w:left="1280" w:right="279"/>
        <w:spacing w:after="0" w:line="27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S-3ASR and has duly caused this registration statement to be signed on its behalf by the undersigned, thereunto duly authorized, in the City of Orange, State of California, on March 2, 2026.</w:t>
      </w:r>
    </w:p>
    <w:p>
      <w:pPr>
        <w:spacing w:after="0" w:line="15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ALIGNMENT HEALTHCARE, INC.</w:t>
      </w:r>
    </w:p>
    <w:p>
      <w:pPr>
        <w:spacing w:after="0" w:line="18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/s/ John Kao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15875</wp:posOffset>
            </wp:positionV>
            <wp:extent cx="221678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2216785" cy="6985"/>
                    </a:xfrm>
                    <a:prstGeom prst="rect">
                      <a:avLst/>
                    </a:prstGeom>
                    <a:noFill/>
                  </pic:spPr>
                </pic:pic>
              </a:graphicData>
            </a:graphic>
          </wp:anchor>
        </w:drawing>
      </w:r>
    </w:p>
    <w:p>
      <w:pPr>
        <w:spacing w:after="0" w:line="1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Name: John Kao</w:t>
      </w:r>
    </w:p>
    <w:p>
      <w:pPr>
        <w:spacing w:after="0" w:line="2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II-6</w:t>
      </w:r>
    </w:p>
    <w:p>
      <w:pPr>
        <w:sectPr>
          <w:pgSz w:w="11900" w:h="16838" w:orient="portrait"/>
          <w:cols w:equalWidth="0" w:num="1">
            <w:col w:w="10159"/>
          </w:cols>
          <w:pgMar w:left="300" w:top="391"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4" w:lineRule="exact"/>
        <w:rPr>
          <w:sz w:val="20"/>
          <w:szCs w:val="20"/>
          <w:color w:val="auto"/>
        </w:rPr>
      </w:pPr>
    </w:p>
    <w:p>
      <w:pPr>
        <w:ind w:left="1280" w:right="179"/>
        <w:spacing w:after="0" w:line="259"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John Kao and James Head, and each of them, his or her true and lawful attorneys-in-fact and agents, with full power of substitution and re-substitution, for him or her and in his or her name, place and stead, in any and all capacities, to (i) sign and file with the Securities and Exchange Commission any and all amendments (including post-effective amendments) to this registration statement, (and any additional registration statement related hereto permitted by Rule 462(b) promulgated under the Securities Act of 1933 (and all further amendments, including post-effective amendments, thereto))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and (iv) take any and all actions which may be necessary or appropriate in connection therewith, granting unto such agent, proxy and attorney in fact full power and authority to do and perform each and every act and thing necessary or appropriate to be done, as fully for all intents and purposes as he or she might or could do in person, hereby approving, ratifying and confirming all that such agents, proxies and attorneys in fact or any of their substitutes may lawfully do or cause to be done by virtue thereof.</w:t>
      </w:r>
    </w:p>
    <w:p>
      <w:pPr>
        <w:spacing w:after="0" w:line="319" w:lineRule="exact"/>
        <w:rPr>
          <w:sz w:val="20"/>
          <w:szCs w:val="20"/>
          <w:color w:val="auto"/>
        </w:rPr>
      </w:pPr>
    </w:p>
    <w:p>
      <w:pPr>
        <w:ind w:left="1280" w:right="559"/>
        <w:spacing w:after="0" w:line="29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following capacities and on the dates indicated.</w:t>
      </w:r>
    </w:p>
    <w:p>
      <w:pPr>
        <w:spacing w:after="0" w:line="140" w:lineRule="exact"/>
        <w:rPr>
          <w:sz w:val="20"/>
          <w:szCs w:val="20"/>
          <w:color w:val="auto"/>
        </w:rPr>
      </w:pPr>
    </w:p>
    <w:tbl>
      <w:tblPr>
        <w:tblLayout w:type="fixed"/>
        <w:tblInd w:w="1280" w:type="dxa"/>
        <w:tblCellMar>
          <w:top w:w="0" w:type="dxa"/>
          <w:left w:w="0" w:type="dxa"/>
          <w:bottom w:w="0" w:type="dxa"/>
          <w:right w:w="0" w:type="dxa"/>
        </w:tblCellMar>
      </w:tblPr>
      <w:tr>
        <w:trPr>
          <w:trHeight w:val="148"/>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362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spacing w:after="0"/>
              <w:rPr>
                <w:sz w:val="12"/>
                <w:szCs w:val="12"/>
                <w:color w:val="auto"/>
              </w:rPr>
            </w:pPr>
          </w:p>
        </w:tc>
        <w:tc>
          <w:tcPr>
            <w:tcW w:w="16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2"/>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John Kao</w:t>
            </w:r>
          </w:p>
        </w:tc>
        <w:tc>
          <w:tcPr>
            <w:tcW w:w="37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Chief Executive Officer</w:t>
            </w: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March 2, 2026</w:t>
            </w:r>
          </w:p>
        </w:tc>
      </w:tr>
      <w:tr>
        <w:trPr>
          <w:trHeight w:val="177"/>
        </w:trPr>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John Kao</w:t>
            </w:r>
          </w:p>
        </w:tc>
        <w:tc>
          <w:tcPr>
            <w:tcW w:w="37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(Principal Executive Officer) and Director</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339"/>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James M. Head</w:t>
            </w:r>
          </w:p>
        </w:tc>
        <w:tc>
          <w:tcPr>
            <w:tcW w:w="37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Chief Financial Officer (Principal Financial and Accounting</w:t>
            </w: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March 2, 2026</w:t>
            </w:r>
          </w:p>
        </w:tc>
      </w:tr>
      <w:tr>
        <w:trPr>
          <w:trHeight w:val="177"/>
        </w:trPr>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James M. Head</w:t>
            </w:r>
          </w:p>
        </w:tc>
        <w:tc>
          <w:tcPr>
            <w:tcW w:w="37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Officer)</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339"/>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Joseph Konowiecki</w:t>
            </w:r>
          </w:p>
        </w:tc>
        <w:tc>
          <w:tcPr>
            <w:tcW w:w="37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Chairman of the Board</w:t>
            </w: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March 2, 2026</w:t>
            </w:r>
          </w:p>
        </w:tc>
      </w:tr>
      <w:tr>
        <w:trPr>
          <w:trHeight w:val="176"/>
        </w:trPr>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Joseph Konowiecki</w:t>
            </w:r>
          </w:p>
        </w:tc>
        <w:tc>
          <w:tcPr>
            <w:tcW w:w="1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339"/>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Jody Bilney</w:t>
            </w:r>
          </w:p>
        </w:tc>
        <w:tc>
          <w:tcPr>
            <w:tcW w:w="37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March 2, 2026</w:t>
            </w:r>
          </w:p>
        </w:tc>
      </w:tr>
      <w:tr>
        <w:trPr>
          <w:trHeight w:val="176"/>
        </w:trPr>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Jody Bilney</w:t>
            </w:r>
          </w:p>
        </w:tc>
        <w:tc>
          <w:tcPr>
            <w:tcW w:w="1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339"/>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David Hodgson</w:t>
            </w:r>
          </w:p>
        </w:tc>
        <w:tc>
          <w:tcPr>
            <w:tcW w:w="37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March 2, 2026</w:t>
            </w:r>
          </w:p>
        </w:tc>
      </w:tr>
      <w:tr>
        <w:trPr>
          <w:trHeight w:val="176"/>
        </w:trPr>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David Hodgson</w:t>
            </w:r>
          </w:p>
        </w:tc>
        <w:tc>
          <w:tcPr>
            <w:tcW w:w="1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339"/>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Yon Jorden</w:t>
            </w:r>
          </w:p>
        </w:tc>
        <w:tc>
          <w:tcPr>
            <w:tcW w:w="37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March 2, 2026</w:t>
            </w:r>
          </w:p>
        </w:tc>
      </w:tr>
      <w:tr>
        <w:trPr>
          <w:trHeight w:val="176"/>
        </w:trPr>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Yon Jorden</w:t>
            </w:r>
          </w:p>
        </w:tc>
        <w:tc>
          <w:tcPr>
            <w:tcW w:w="1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339"/>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Jacqueline Kosecoff</w:t>
            </w:r>
          </w:p>
        </w:tc>
        <w:tc>
          <w:tcPr>
            <w:tcW w:w="37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March 2, 2026</w:t>
            </w:r>
          </w:p>
        </w:tc>
      </w:tr>
      <w:tr>
        <w:trPr>
          <w:trHeight w:val="176"/>
        </w:trPr>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Jacqueline Kosecoff</w:t>
            </w:r>
          </w:p>
        </w:tc>
        <w:tc>
          <w:tcPr>
            <w:tcW w:w="1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339"/>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Margaret McCarthy</w:t>
            </w:r>
          </w:p>
        </w:tc>
        <w:tc>
          <w:tcPr>
            <w:tcW w:w="37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March 2, 2026</w:t>
            </w:r>
          </w:p>
        </w:tc>
      </w:tr>
      <w:tr>
        <w:trPr>
          <w:trHeight w:val="176"/>
        </w:trPr>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Margaret McCarthy</w:t>
            </w:r>
          </w:p>
        </w:tc>
        <w:tc>
          <w:tcPr>
            <w:tcW w:w="1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339"/>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Mark McClellan</w:t>
            </w:r>
          </w:p>
        </w:tc>
        <w:tc>
          <w:tcPr>
            <w:tcW w:w="37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March 2, 2026</w:t>
            </w:r>
          </w:p>
        </w:tc>
      </w:tr>
      <w:tr>
        <w:trPr>
          <w:trHeight w:val="176"/>
        </w:trPr>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 McClellan</w:t>
            </w:r>
          </w:p>
        </w:tc>
        <w:tc>
          <w:tcPr>
            <w:tcW w:w="1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339"/>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Robbert Vorhoff</w:t>
            </w:r>
          </w:p>
        </w:tc>
        <w:tc>
          <w:tcPr>
            <w:tcW w:w="37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March 2, 2026</w:t>
            </w:r>
          </w:p>
        </w:tc>
      </w:tr>
      <w:tr>
        <w:trPr>
          <w:trHeight w:val="176"/>
        </w:trPr>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Robbert Vorhoff</w:t>
            </w:r>
          </w:p>
        </w:tc>
        <w:tc>
          <w:tcPr>
            <w:tcW w:w="1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85"/>
        </w:trPr>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II-7</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159"/>
          </w:cols>
          <w:pgMar w:left="300" w:top="391" w:right="1440" w:bottom="1440" w:gutter="0" w:footer="0" w:header="0"/>
        </w:sectPr>
      </w:pPr>
    </w:p>
    <w:bookmarkStart w:id="42" w:name="page43"/>
    <w:bookmarkEnd w:id="42"/>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Paul, Weiss, Rifkind, Wharton &amp; Garrison LLP</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1285 Avenue of the Americas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New York, New York 10019-6064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Tel: 212-373-3000</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Fax: 212-757-3990</w:t>
      </w:r>
    </w:p>
    <w:p>
      <w:pPr>
        <w:spacing w:after="0" w:line="168"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4"/>
          <w:szCs w:val="14"/>
          <w:color w:val="auto"/>
        </w:rPr>
        <w:t>March 2, 2026</w:t>
      </w:r>
    </w:p>
    <w:p>
      <w:pPr>
        <w:spacing w:after="0" w:line="1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Alignment Healthcare, Inc.</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1100 W. Town and Country Road, Suite 1600</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Orange, California 92868</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Alignment Healthcare, Inc.</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Registration Statement on Form S-3ASR</w:t>
      </w:r>
    </w:p>
    <w:p>
      <w:pPr>
        <w:spacing w:after="0" w:line="1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96" w:lineRule="exact"/>
        <w:rPr>
          <w:sz w:val="20"/>
          <w:szCs w:val="20"/>
          <w:color w:val="auto"/>
        </w:rPr>
      </w:pPr>
    </w:p>
    <w:p>
      <w:pPr>
        <w:ind w:left="140" w:right="179" w:firstLine="349"/>
        <w:spacing w:after="0" w:line="264" w:lineRule="auto"/>
        <w:rPr>
          <w:sz w:val="20"/>
          <w:szCs w:val="20"/>
          <w:color w:val="auto"/>
        </w:rPr>
      </w:pPr>
      <w:r>
        <w:rPr>
          <w:rFonts w:ascii="Times New Roman" w:cs="Times New Roman" w:eastAsia="Times New Roman" w:hAnsi="Times New Roman"/>
          <w:sz w:val="14"/>
          <w:szCs w:val="14"/>
          <w:color w:val="auto"/>
        </w:rPr>
        <w:t>In connection with the Registration Statement on Form S-3ASR (the “Registration Statement”) of Alignment Healthcare, Inc., a Delaware corporation (the “Company”), filed today with the Securities and Exchange Commission pursuant to the Securities Act of 1933, as amended (the “Act”), and the rules and regulations thereunder (the “Rules”), you have asked us to furnish our opinion as to the legality of the securities being registered under the Registration Statement. The Registration Statement relates to the registration under the Act of the following securities of the Company (together, the “Securities”):</w:t>
      </w:r>
    </w:p>
    <w:p>
      <w:pPr>
        <w:spacing w:after="0" w:line="68" w:lineRule="exact"/>
        <w:rPr>
          <w:sz w:val="20"/>
          <w:szCs w:val="20"/>
          <w:color w:val="auto"/>
        </w:rPr>
      </w:pPr>
    </w:p>
    <w:p>
      <w:pPr>
        <w:ind w:left="900" w:hanging="423"/>
        <w:spacing w:after="0"/>
        <w:tabs>
          <w:tab w:leader="none" w:pos="9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(the “Debt Securities”);</w:t>
      </w:r>
    </w:p>
    <w:p>
      <w:pPr>
        <w:spacing w:after="0" w:line="106" w:lineRule="exact"/>
        <w:rPr>
          <w:rFonts w:ascii="Times New Roman" w:cs="Times New Roman" w:eastAsia="Times New Roman" w:hAnsi="Times New Roman"/>
          <w:sz w:val="14"/>
          <w:szCs w:val="14"/>
          <w:color w:val="auto"/>
        </w:rPr>
      </w:pPr>
    </w:p>
    <w:p>
      <w:pPr>
        <w:ind w:left="900" w:right="199" w:hanging="423"/>
        <w:spacing w:after="0" w:line="291" w:lineRule="auto"/>
        <w:tabs>
          <w:tab w:leader="none" w:pos="9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preferred stock (including shares issued upon conversion of the Debt Securities) of the Company, par value $0.001 per share (the “Preferred Stock”);</w:t>
      </w:r>
    </w:p>
    <w:p>
      <w:pPr>
        <w:spacing w:after="0" w:line="48" w:lineRule="exact"/>
        <w:rPr>
          <w:rFonts w:ascii="Times New Roman" w:cs="Times New Roman" w:eastAsia="Times New Roman" w:hAnsi="Times New Roman"/>
          <w:sz w:val="14"/>
          <w:szCs w:val="14"/>
          <w:color w:val="auto"/>
        </w:rPr>
      </w:pPr>
    </w:p>
    <w:p>
      <w:pPr>
        <w:ind w:left="900" w:right="259" w:hanging="423"/>
        <w:spacing w:after="0" w:line="273" w:lineRule="auto"/>
        <w:tabs>
          <w:tab w:leader="none" w:pos="9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(including shares issued upon conversion of the Debt Securities or Preferred Stock) of the Company, par value $0.001 per share (the “Common Stock”), which shares of Common Stock may be offered by the Company (the “Primary Shares”) or may be offered by certain selling stockholders of the Company to be named in a prospectus supplement (the “Secondary Shares”);</w:t>
      </w:r>
    </w:p>
    <w:p>
      <w:pPr>
        <w:spacing w:after="0" w:line="61" w:lineRule="exact"/>
        <w:rPr>
          <w:rFonts w:ascii="Times New Roman" w:cs="Times New Roman" w:eastAsia="Times New Roman" w:hAnsi="Times New Roman"/>
          <w:sz w:val="14"/>
          <w:szCs w:val="14"/>
          <w:color w:val="auto"/>
        </w:rPr>
      </w:pPr>
    </w:p>
    <w:p>
      <w:pPr>
        <w:ind w:left="900" w:right="339" w:hanging="423"/>
        <w:spacing w:after="0" w:line="291" w:lineRule="auto"/>
        <w:tabs>
          <w:tab w:leader="none" w:pos="9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depositary shares representing a fractional share or multiple shares of Preferred Stock evidenced by depositary receipts (the “Depositary Shares”);</w:t>
      </w:r>
    </w:p>
    <w:p>
      <w:pPr>
        <w:sectPr>
          <w:pgSz w:w="11900" w:h="16838" w:orient="portrait"/>
          <w:cols w:equalWidth="0" w:num="1">
            <w:col w:w="9019"/>
          </w:cols>
          <w:pgMar w:left="1440" w:top="123" w:right="1440" w:bottom="1440" w:gutter="0" w:footer="0" w:header="0"/>
        </w:sectPr>
      </w:pPr>
    </w:p>
    <w:bookmarkStart w:id="43" w:name="page44"/>
    <w:bookmarkEnd w:id="43"/>
    <w:p>
      <w:pPr>
        <w:ind w:left="900" w:hanging="423"/>
        <w:spacing w:after="0"/>
        <w:tabs>
          <w:tab w:leader="none" w:pos="9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warrants to purchase Debt Securities, Preferred Stock, Common Stock, Depositary Shares or any combination of them (the “Warrants”);</w:t>
      </w:r>
    </w:p>
    <w:p>
      <w:pPr>
        <w:spacing w:after="0" w:line="106" w:lineRule="exact"/>
        <w:rPr>
          <w:rFonts w:ascii="Times New Roman" w:cs="Times New Roman" w:eastAsia="Times New Roman" w:hAnsi="Times New Roman"/>
          <w:sz w:val="14"/>
          <w:szCs w:val="14"/>
          <w:color w:val="auto"/>
        </w:rPr>
      </w:pPr>
    </w:p>
    <w:p>
      <w:pPr>
        <w:ind w:left="900" w:right="439" w:hanging="423"/>
        <w:spacing w:after="0" w:line="291" w:lineRule="auto"/>
        <w:tabs>
          <w:tab w:leader="none" w:pos="9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contracts representing the Company’s obligation to sell Debt Securities, Preferred Stock, Common Stock, Depositary Shares, Warrants or debt obligations of third parties, including government securities (the “Purchase Contracts”); and</w:t>
      </w:r>
    </w:p>
    <w:p>
      <w:pPr>
        <w:spacing w:after="0" w:line="48" w:lineRule="exact"/>
        <w:rPr>
          <w:rFonts w:ascii="Times New Roman" w:cs="Times New Roman" w:eastAsia="Times New Roman" w:hAnsi="Times New Roman"/>
          <w:sz w:val="14"/>
          <w:szCs w:val="14"/>
          <w:color w:val="auto"/>
        </w:rPr>
      </w:pPr>
    </w:p>
    <w:p>
      <w:pPr>
        <w:ind w:left="900" w:right="459" w:hanging="423"/>
        <w:spacing w:after="0" w:line="291" w:lineRule="auto"/>
        <w:tabs>
          <w:tab w:leader="none" w:pos="9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consisting of any combination of two or more of Debt Securities, Preferred Stock, Common Stock, Depositary Shares, Warrants, Purchase Contracts or debt obligations of third parties, including government securities (the “Units”).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Securities are being registered for offering and sale from time to time as provided by Rule 415 under the Act.</w:t>
      </w:r>
    </w:p>
    <w:p>
      <w:pPr>
        <w:spacing w:after="0" w:line="182" w:lineRule="exact"/>
        <w:rPr>
          <w:sz w:val="20"/>
          <w:szCs w:val="20"/>
          <w:color w:val="auto"/>
        </w:rPr>
      </w:pPr>
    </w:p>
    <w:p>
      <w:pPr>
        <w:ind w:left="140" w:right="239" w:firstLine="349"/>
        <w:spacing w:after="0" w:line="261" w:lineRule="auto"/>
        <w:rPr>
          <w:sz w:val="20"/>
          <w:szCs w:val="20"/>
          <w:color w:val="auto"/>
        </w:rPr>
      </w:pPr>
      <w:r>
        <w:rPr>
          <w:rFonts w:ascii="Times New Roman" w:cs="Times New Roman" w:eastAsia="Times New Roman" w:hAnsi="Times New Roman"/>
          <w:sz w:val="14"/>
          <w:szCs w:val="14"/>
          <w:color w:val="auto"/>
        </w:rPr>
        <w:t>The Debt Securities are to be issued under an indenture to be entered into by and between the Company and the bank or trust company identified in such indenture as the trustee with respect to the Debt Securities (the “Indenture”). The Depositary Shares are to be issued under deposit agreements, each between the Company and a depositary to be identified in the applicable agreement (each, a “Depositary Agreement”). The Warrants are to be issued under warrant agreements, each between the Company and a warrant agent to be identified in the applicable agreement (each, a “Warrant Agreement”). The Purchase Contracts will be issued under purchase contract agreements, each between the Company and a purchase contract agent to be identified in the applicable agreement (each, a “Purchase Contract Agreement”). The Units are to be issued under unit agreements, each between the Company and a unit agent to be identified in the applicable agreement (each, a “Unit Agreement”).</w:t>
      </w:r>
    </w:p>
    <w:p>
      <w:pPr>
        <w:spacing w:after="0" w:line="145" w:lineRule="exact"/>
        <w:rPr>
          <w:sz w:val="20"/>
          <w:szCs w:val="20"/>
          <w:color w:val="auto"/>
        </w:rPr>
      </w:pPr>
    </w:p>
    <w:p>
      <w:pPr>
        <w:ind w:left="140" w:right="199" w:firstLine="349"/>
        <w:spacing w:after="0" w:line="291" w:lineRule="auto"/>
        <w:rPr>
          <w:sz w:val="20"/>
          <w:szCs w:val="20"/>
          <w:color w:val="auto"/>
        </w:rPr>
      </w:pPr>
      <w:r>
        <w:rPr>
          <w:rFonts w:ascii="Times New Roman" w:cs="Times New Roman" w:eastAsia="Times New Roman" w:hAnsi="Times New Roman"/>
          <w:sz w:val="14"/>
          <w:szCs w:val="14"/>
          <w:color w:val="auto"/>
        </w:rPr>
        <w:t>In connection with the furnishing of this opinion, we have examined originals, or copies certified or otherwise identified to our satisfaction, of the following documents:</w:t>
      </w:r>
    </w:p>
    <w:p>
      <w:pPr>
        <w:spacing w:after="0" w:line="49" w:lineRule="exact"/>
        <w:rPr>
          <w:sz w:val="20"/>
          <w:szCs w:val="20"/>
          <w:color w:val="auto"/>
        </w:rPr>
      </w:pPr>
    </w:p>
    <w:p>
      <w:pPr>
        <w:ind w:left="900" w:hanging="423"/>
        <w:spacing w:after="0"/>
        <w:tabs>
          <w:tab w:leader="none" w:pos="9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w:t>
      </w:r>
    </w:p>
    <w:p>
      <w:pPr>
        <w:spacing w:after="0" w:line="106" w:lineRule="exact"/>
        <w:rPr>
          <w:rFonts w:ascii="Times New Roman" w:cs="Times New Roman" w:eastAsia="Times New Roman" w:hAnsi="Times New Roman"/>
          <w:sz w:val="14"/>
          <w:szCs w:val="14"/>
          <w:color w:val="auto"/>
        </w:rPr>
      </w:pPr>
    </w:p>
    <w:p>
      <w:pPr>
        <w:ind w:left="900" w:hanging="423"/>
        <w:spacing w:after="0"/>
        <w:tabs>
          <w:tab w:leader="none" w:pos="9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Indenture (including the form of Securities included therein) attached as Exhibit 4.1 to the Registration Statement.</w:t>
      </w:r>
    </w:p>
    <w:p>
      <w:pPr>
        <w:spacing w:after="0" w:line="182" w:lineRule="exact"/>
        <w:rPr>
          <w:sz w:val="20"/>
          <w:szCs w:val="20"/>
          <w:color w:val="auto"/>
        </w:rPr>
      </w:pPr>
    </w:p>
    <w:p>
      <w:pPr>
        <w:ind w:left="140" w:right="159" w:firstLine="349"/>
        <w:spacing w:after="0" w:line="264" w:lineRule="auto"/>
        <w:rPr>
          <w:sz w:val="20"/>
          <w:szCs w:val="20"/>
          <w:color w:val="auto"/>
        </w:rPr>
      </w:pPr>
      <w:r>
        <w:rPr>
          <w:rFonts w:ascii="Times New Roman" w:cs="Times New Roman" w:eastAsia="Times New Roman" w:hAnsi="Times New Roman"/>
          <w:sz w:val="14"/>
          <w:szCs w:val="14"/>
          <w:color w:val="auto"/>
        </w:rPr>
        <w:t>In addition, we have examined (i) such corporate records of the Company that we have considered appropriate, including a copy of the certificate of incorporation, as amended, and bylaws, as amended, of the Company, and copies of resolutions of the board of directors of the Company relating to the issuance of the Securities certified by the Company, and (ii) such other certificates, agreements and documents that we deemed relevant and necessary as a basis for the opinions expressed below. We have also relied upon the factual matters contained in the representations and warranties of the Company made in the documents reviewed by us and upon certificates of public officials and the officers of the Company.</w:t>
      </w:r>
    </w:p>
    <w:p>
      <w:pPr>
        <w:sectPr>
          <w:pgSz w:w="11900" w:h="16838" w:orient="portrait"/>
          <w:cols w:equalWidth="0" w:num="1">
            <w:col w:w="9019"/>
          </w:cols>
          <w:pgMar w:left="1440" w:top="243" w:right="1440" w:bottom="1440" w:gutter="0" w:footer="0" w:header="0"/>
        </w:sectPr>
      </w:pPr>
    </w:p>
    <w:bookmarkStart w:id="44" w:name="page45"/>
    <w:bookmarkEnd w:id="44"/>
    <w:p>
      <w:pPr>
        <w:ind w:left="140" w:right="159" w:firstLine="34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all such latter documents and that the statements regarding matters of fact in the certificates, records, agreements, instruments and documents that we have examined are accurate and complete.</w:t>
      </w:r>
    </w:p>
    <w:p>
      <w:pPr>
        <w:spacing w:after="0" w:line="143" w:lineRule="exact"/>
        <w:rPr>
          <w:sz w:val="20"/>
          <w:szCs w:val="20"/>
          <w:color w:val="auto"/>
        </w:rPr>
      </w:pPr>
    </w:p>
    <w:p>
      <w:pPr>
        <w:ind w:left="140" w:right="179" w:firstLine="349"/>
        <w:spacing w:after="0" w:line="258" w:lineRule="auto"/>
        <w:rPr>
          <w:sz w:val="20"/>
          <w:szCs w:val="20"/>
          <w:color w:val="auto"/>
        </w:rPr>
      </w:pPr>
      <w:r>
        <w:rPr>
          <w:rFonts w:ascii="Times New Roman" w:cs="Times New Roman" w:eastAsia="Times New Roman" w:hAnsi="Times New Roman"/>
          <w:sz w:val="14"/>
          <w:szCs w:val="14"/>
          <w:color w:val="auto"/>
        </w:rPr>
        <w:t>We have also assumed, without independent investigation, that (i) the Indenture will be duly authorized, executed and delivered by the parties to them in substantially the form filed as an exhibit to the Registration Statement and will be duly qualified under the Trust Indenture Act of 1939, as amended, (ii) each of the Depositary Agreements, the Warrant Agreements, the Purchase Contract Agreements, the Unit Agreements and any other agreement entered into, or officer’s certificates or board resolutions delivered, in connection with the issuance of the Securities will be duly authorized, executed and delivered by the parties to such agreements (such agreements and documents, together with the Indenture, are referred to collectively as the “Operative Agreements”), (iii) each Operative Agreement, when so authorized, executed and delivered, will constitute a legal, valid and binding obligation of the parties thereto (other than the Company), (iv) the Depositary Shares, the Warrants, the Purchase Contracts, the Units and any related Operative Agreements will be governed by the laws of the State of New York, (v) in the case of Purchase Contracts or Units consisting at least in part of debt obligations of third parties, such debt obligations at all relevant times constitute the legal, valid and binding obligations of the issuers thereof enforceable against the issuers thereof in accordance with their terms and (vi) the execution, delivery and performance of the Operative Agreements and the Securities and issuance of the Securities do not conflict with or constitute a breach of the terms of any agreement or instrument to which the Company is subject or violate applicable law or contravene any requirement or restriction imposed by any court or governmental body having jurisdiction over the Company.</w:t>
      </w:r>
    </w:p>
    <w:p>
      <w:pPr>
        <w:spacing w:after="0" w:line="322" w:lineRule="exact"/>
        <w:rPr>
          <w:sz w:val="20"/>
          <w:szCs w:val="20"/>
          <w:color w:val="auto"/>
        </w:rPr>
      </w:pPr>
    </w:p>
    <w:p>
      <w:pPr>
        <w:ind w:left="140" w:right="159" w:firstLine="349"/>
        <w:spacing w:after="0" w:line="260" w:lineRule="auto"/>
        <w:rPr>
          <w:sz w:val="20"/>
          <w:szCs w:val="20"/>
          <w:color w:val="auto"/>
        </w:rPr>
      </w:pPr>
      <w:r>
        <w:rPr>
          <w:rFonts w:ascii="Times New Roman" w:cs="Times New Roman" w:eastAsia="Times New Roman" w:hAnsi="Times New Roman"/>
          <w:sz w:val="14"/>
          <w:szCs w:val="14"/>
          <w:color w:val="auto"/>
        </w:rPr>
        <w:t>With respect to the Securities of a particular series or issuance, we have assumed that (i) the issuance, sale, number or amount, as the case may be, and terms of the Securities to be offered from time to time will be duly authorized and established, in accordance with the organizational documents of the Company, the laws of the State of New York and the State of Delaware, and any applicable Operative Agreement, (ii) prior to the issuance of a series of Preferred Stock, an appropriate certificate of designation or board resolution relating to such series of Preferred Stock will have been duly authorized by the Company and filed with the Secretary of State of Delaware, the Securities will be duly authorized, executed, issued and delivered by the Company and, in the case of Debt Securities, Depositary Shares, Warrants, Purchase Contracts and Units, duly authenticated or delivered by the applicable trustee or agent, in each case, against payment by the purchaser at the agreed-upon consideration, and (iv) the Securities will be issued and delivered as contemplated by the Registration Statement and the applicable prospectus supplement.</w:t>
      </w:r>
    </w:p>
    <w:p>
      <w:pPr>
        <w:sectPr>
          <w:pgSz w:w="11900" w:h="16838" w:orient="portrait"/>
          <w:cols w:equalWidth="0" w:num="1">
            <w:col w:w="9019"/>
          </w:cols>
          <w:pgMar w:left="1440" w:top="243" w:right="1440" w:bottom="1440" w:gutter="0" w:footer="0" w:header="0"/>
        </w:sectPr>
      </w:pPr>
    </w:p>
    <w:bookmarkStart w:id="45" w:name="page46"/>
    <w:bookmarkEnd w:id="45"/>
    <w:p>
      <w:pPr>
        <w:ind w:left="4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Based upon the above, and subject to the stated assumptions, exceptions and qualifications, we are of the opinion that:</w:t>
      </w:r>
    </w:p>
    <w:p>
      <w:pPr>
        <w:spacing w:after="0" w:line="107" w:lineRule="exact"/>
        <w:rPr>
          <w:sz w:val="20"/>
          <w:szCs w:val="20"/>
          <w:color w:val="auto"/>
        </w:rPr>
      </w:pPr>
    </w:p>
    <w:p>
      <w:pPr>
        <w:ind w:left="900" w:right="139" w:hanging="423"/>
        <w:spacing w:after="0" w:line="264" w:lineRule="auto"/>
        <w:tabs>
          <w:tab w:leader="none" w:pos="9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specific terms of a particular issuance of Debt Securities (including any Debt Securities duly issued upon exercise, exchange or conversion of any Security in accordance with its terms) have been duly authorized by the Company and such Debt Securities have been duly executed, authenticated, issued and delivered, and, if applicable, upon exercise, exchange or conversion of any Security in accordance with its terms, such Debt Securities will constitute legal, valid and binding obligations of the Company enforceable against the Company in accordance with their terms.</w:t>
      </w:r>
    </w:p>
    <w:p>
      <w:pPr>
        <w:spacing w:after="0" w:line="67" w:lineRule="exact"/>
        <w:rPr>
          <w:rFonts w:ascii="Times New Roman" w:cs="Times New Roman" w:eastAsia="Times New Roman" w:hAnsi="Times New Roman"/>
          <w:sz w:val="14"/>
          <w:szCs w:val="14"/>
          <w:color w:val="auto"/>
        </w:rPr>
      </w:pPr>
    </w:p>
    <w:p>
      <w:pPr>
        <w:ind w:left="900" w:right="199" w:hanging="423"/>
        <w:spacing w:after="0" w:line="273" w:lineRule="auto"/>
        <w:tabs>
          <w:tab w:leader="none" w:pos="9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due authorization by the Company of the issuance and sale of shares of a series of Preferred Stock, and, if applicable, upon exercise, exchange or conversion of any Security in accordance with its terms, such shares of Preferred Stock will be validly issued, fully paid and non-assessable.</w:t>
      </w:r>
    </w:p>
    <w:p>
      <w:pPr>
        <w:spacing w:after="0" w:line="61" w:lineRule="exact"/>
        <w:rPr>
          <w:rFonts w:ascii="Times New Roman" w:cs="Times New Roman" w:eastAsia="Times New Roman" w:hAnsi="Times New Roman"/>
          <w:sz w:val="14"/>
          <w:szCs w:val="14"/>
          <w:color w:val="auto"/>
        </w:rPr>
      </w:pPr>
    </w:p>
    <w:p>
      <w:pPr>
        <w:ind w:left="900" w:right="419" w:hanging="423"/>
        <w:spacing w:after="0" w:line="291" w:lineRule="auto"/>
        <w:tabs>
          <w:tab w:leader="none" w:pos="9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due authorization by the Company of the issuance and sale of any Primary Shares, and, if applicable, upon exercise, exchange or conversion of any Security in accordance with its terms, such Primary Shares will be validly issued, fully paid and non-assessable.</w:t>
      </w:r>
    </w:p>
    <w:p>
      <w:pPr>
        <w:spacing w:after="0" w:line="48" w:lineRule="exact"/>
        <w:rPr>
          <w:rFonts w:ascii="Times New Roman" w:cs="Times New Roman" w:eastAsia="Times New Roman" w:hAnsi="Times New Roman"/>
          <w:sz w:val="14"/>
          <w:szCs w:val="14"/>
          <w:color w:val="auto"/>
        </w:rPr>
      </w:pPr>
    </w:p>
    <w:p>
      <w:pPr>
        <w:ind w:left="900" w:right="279" w:hanging="423"/>
        <w:spacing w:after="0" w:line="291" w:lineRule="auto"/>
        <w:tabs>
          <w:tab w:leader="none" w:pos="9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Secondary Shares have been duly authorized by all necessary corporate action on the part of the Company and the Secondary Shares are validly issued, fully paid and non-assessable.</w:t>
      </w:r>
    </w:p>
    <w:p>
      <w:pPr>
        <w:spacing w:after="0" w:line="48" w:lineRule="exact"/>
        <w:rPr>
          <w:rFonts w:ascii="Times New Roman" w:cs="Times New Roman" w:eastAsia="Times New Roman" w:hAnsi="Times New Roman"/>
          <w:sz w:val="14"/>
          <w:szCs w:val="14"/>
          <w:color w:val="auto"/>
        </w:rPr>
      </w:pPr>
    </w:p>
    <w:p>
      <w:pPr>
        <w:ind w:left="900" w:right="219" w:hanging="423"/>
        <w:spacing w:after="0" w:line="273" w:lineRule="auto"/>
        <w:tabs>
          <w:tab w:leader="none" w:pos="9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Depositary Shares evidenced by depositary receipts are issued and delivered in accordance with the terms of a Depositary Agreement against the deposit of duly authorized, validly issued, fully paid and non-assessable shares of Preferred Stock, such Depositary Shares will entitle the holders thereof to the rights specified in the Depositary Agreement.</w:t>
      </w:r>
    </w:p>
    <w:p>
      <w:pPr>
        <w:spacing w:after="0" w:line="61" w:lineRule="exact"/>
        <w:rPr>
          <w:rFonts w:ascii="Times New Roman" w:cs="Times New Roman" w:eastAsia="Times New Roman" w:hAnsi="Times New Roman"/>
          <w:sz w:val="14"/>
          <w:szCs w:val="14"/>
          <w:color w:val="auto"/>
        </w:rPr>
      </w:pPr>
    </w:p>
    <w:p>
      <w:pPr>
        <w:ind w:left="900" w:right="179" w:hanging="423"/>
        <w:spacing w:after="0" w:line="273" w:lineRule="auto"/>
        <w:tabs>
          <w:tab w:leader="none" w:pos="9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specific terms of a particular issuance of Warrants have been duly authorized by the Company and such Warrants have been duly executed, authenticated, issued and delivered, such Warrants will constitute legal, valid and binding obligations of the Company enforceable against the Company in accordance with their terms.</w:t>
      </w:r>
    </w:p>
    <w:p>
      <w:pPr>
        <w:spacing w:after="0" w:line="61" w:lineRule="exact"/>
        <w:rPr>
          <w:rFonts w:ascii="Times New Roman" w:cs="Times New Roman" w:eastAsia="Times New Roman" w:hAnsi="Times New Roman"/>
          <w:sz w:val="14"/>
          <w:szCs w:val="14"/>
          <w:color w:val="auto"/>
        </w:rPr>
      </w:pPr>
    </w:p>
    <w:p>
      <w:pPr>
        <w:ind w:left="900" w:right="399" w:hanging="423"/>
        <w:spacing w:after="0" w:line="291" w:lineRule="auto"/>
        <w:tabs>
          <w:tab w:leader="none" w:pos="9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any Purchase Contracts have been duly authorized, executed and delivered by Company, such Purchase Contracts will constitute legal, valid and binding obligations of the Company enforceable against the Company in accordance with their terms.</w:t>
      </w:r>
    </w:p>
    <w:p>
      <w:pPr>
        <w:spacing w:after="0" w:line="48" w:lineRule="exact"/>
        <w:rPr>
          <w:rFonts w:ascii="Times New Roman" w:cs="Times New Roman" w:eastAsia="Times New Roman" w:hAnsi="Times New Roman"/>
          <w:sz w:val="14"/>
          <w:szCs w:val="14"/>
          <w:color w:val="auto"/>
        </w:rPr>
      </w:pPr>
    </w:p>
    <w:p>
      <w:pPr>
        <w:ind w:left="900" w:right="659" w:hanging="423"/>
        <w:spacing w:after="0" w:line="291" w:lineRule="auto"/>
        <w:tabs>
          <w:tab w:leader="none" w:pos="9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Units have been duly authorized, issued and delivered by the Company, the Units will constitute legal, valid and binding obligations of the Company enforceable against the Company in accordance with their terms.</w:t>
      </w:r>
    </w:p>
    <w:p>
      <w:pPr>
        <w:sectPr>
          <w:pgSz w:w="11900" w:h="16838" w:orient="portrait"/>
          <w:cols w:equalWidth="0" w:num="1">
            <w:col w:w="9019"/>
          </w:cols>
          <w:pgMar w:left="1440" w:top="243" w:right="1440" w:bottom="1440" w:gutter="0" w:footer="0" w:header="0"/>
        </w:sectPr>
      </w:pPr>
    </w:p>
    <w:bookmarkStart w:id="46" w:name="page47"/>
    <w:bookmarkEnd w:id="46"/>
    <w:p>
      <w:pPr>
        <w:ind w:left="140" w:right="199" w:firstLine="34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The opinions expressed above as to enforceability may be subject to (i) bankruptcy, insolvency, reorganization, fraudulent conveyance or transfer, moratorium or similar laws affecting creditors’ rights generally, (ii) general principles of equity (regardless of whether enforceability is considered in a proceeding in equity or at law) and (iii) requirements that a claim with respect to any Securities in denominations other than in United States dollars (or a judgment denominated other than into United States dollars in respect of the claim) be converted into United States dollars at a rate of exchange prevailing on a date determined by applicable law.</w:t>
      </w:r>
    </w:p>
    <w:p>
      <w:pPr>
        <w:spacing w:after="0" w:line="143" w:lineRule="exact"/>
        <w:rPr>
          <w:sz w:val="20"/>
          <w:szCs w:val="20"/>
          <w:color w:val="auto"/>
        </w:rPr>
      </w:pPr>
    </w:p>
    <w:p>
      <w:pPr>
        <w:ind w:left="140" w:right="619" w:firstLine="349"/>
        <w:spacing w:after="0" w:line="291" w:lineRule="auto"/>
        <w:rPr>
          <w:sz w:val="20"/>
          <w:szCs w:val="20"/>
          <w:color w:val="auto"/>
        </w:rPr>
      </w:pPr>
      <w:r>
        <w:rPr>
          <w:rFonts w:ascii="Times New Roman" w:cs="Times New Roman" w:eastAsia="Times New Roman" w:hAnsi="Times New Roman"/>
          <w:sz w:val="14"/>
          <w:szCs w:val="14"/>
          <w:color w:val="auto"/>
        </w:rPr>
        <w:t>The opinions expressed above are limited to the laws of the State of New York and the Delaware General Corporation Law. Our opinion is rendered only with respect to the laws, and the rules, regulations and orders under those laws, that are currently in effect.</w:t>
      </w:r>
    </w:p>
    <w:p>
      <w:pPr>
        <w:spacing w:after="0" w:line="124" w:lineRule="exact"/>
        <w:rPr>
          <w:sz w:val="20"/>
          <w:szCs w:val="20"/>
          <w:color w:val="auto"/>
        </w:rPr>
      </w:pPr>
    </w:p>
    <w:p>
      <w:pPr>
        <w:ind w:left="140" w:right="199" w:firstLine="349"/>
        <w:spacing w:after="0" w:line="273" w:lineRule="auto"/>
        <w:rPr>
          <w:sz w:val="20"/>
          <w:szCs w:val="20"/>
          <w:color w:val="auto"/>
        </w:rPr>
      </w:pPr>
      <w:r>
        <w:rPr>
          <w:rFonts w:ascii="Times New Roman" w:cs="Times New Roman" w:eastAsia="Times New Roman" w:hAnsi="Times New Roman"/>
          <w:sz w:val="14"/>
          <w:szCs w:val="14"/>
          <w:color w:val="auto"/>
        </w:rPr>
        <w:t>We hereby consent to use of this opinion as an exhibit to the Registration Statement and to the use of our name under the heading “Legal Matters” contained in the prospectus included in the Registration Statement. In giving this consent, we do not hereby admit that we come within the category of persons whose consent is required by the Act or the Rules.</w:t>
      </w:r>
    </w:p>
    <w:p>
      <w:pPr>
        <w:spacing w:after="0" w:line="13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 xml:space="preserve">Very truly yours,                                     </w:t>
      </w:r>
    </w:p>
    <w:p>
      <w:pPr>
        <w:spacing w:after="0" w:line="18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 xml:space="preserve">/s/ Paul, Weiss, Rifkind, Wharton &amp; Garrison LLP             </w:t>
      </w:r>
    </w:p>
    <w:p>
      <w:pPr>
        <w:spacing w:after="0" w:line="1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color w:val="auto"/>
        </w:rPr>
        <w:t>PAUL, WEISS, RIFKIND, WHARTON &amp; GARRISON LLP</w:t>
      </w:r>
    </w:p>
    <w:p>
      <w:pPr>
        <w:sectPr>
          <w:pgSz w:w="11900" w:h="16838" w:orient="portrait"/>
          <w:cols w:equalWidth="0" w:num="1">
            <w:col w:w="9019"/>
          </w:cols>
          <w:pgMar w:left="1440" w:top="243" w:right="1440" w:bottom="1440" w:gutter="0" w:footer="0" w:header="0"/>
        </w:sectPr>
      </w:pPr>
    </w:p>
    <w:bookmarkStart w:id="47" w:name="page48"/>
    <w:bookmarkEnd w:id="47"/>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4" w:lineRule="exact"/>
        <w:rPr>
          <w:sz w:val="20"/>
          <w:szCs w:val="20"/>
          <w:color w:val="auto"/>
        </w:rPr>
      </w:pPr>
    </w:p>
    <w:p>
      <w:pPr>
        <w:ind w:left="140" w:right="179"/>
        <w:spacing w:after="0" w:line="267"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S-3 of our reports dated February 26, 2026 relating to the financial statements of Alignment Healthcare, Inc. and the effectiveness of Alignment Healthcare, Inc.’s internal control over financial reporting, appearing in the Annual Report on Form 10-K of Alignment Healthcare, Inc. for the year ended December 31, 2025. We also consent to the reference to us under the heading “Experts” in such Registration Statement.</w:t>
      </w:r>
    </w:p>
    <w:p>
      <w:pPr>
        <w:spacing w:after="0" w:line="1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Costa Mesa, California</w:t>
      </w:r>
    </w:p>
    <w:p>
      <w:pPr>
        <w:spacing w:after="0" w:line="1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March 2, 2026</w:t>
      </w:r>
    </w:p>
    <w:p>
      <w:pPr>
        <w:sectPr>
          <w:pgSz w:w="11900" w:h="16838" w:orient="portrait"/>
          <w:cols w:equalWidth="0" w:num="1">
            <w:col w:w="9019"/>
          </w:cols>
          <w:pgMar w:left="1440" w:top="123" w:right="1440" w:bottom="1440" w:gutter="0" w:footer="0" w:header="0"/>
        </w:sectPr>
      </w:pPr>
    </w:p>
    <w:bookmarkStart w:id="48" w:name="page49"/>
    <w:bookmarkEnd w:id="48"/>
    <w:p>
      <w:pPr>
        <w:spacing w:after="0" w:line="91" w:lineRule="exact"/>
        <w:rPr>
          <w:sz w:val="20"/>
          <w:szCs w:val="20"/>
          <w:color w:val="auto"/>
        </w:rPr>
      </w:pPr>
    </w:p>
    <w:p>
      <w:pPr>
        <w:ind w:left="3460"/>
        <w:spacing w:after="0"/>
        <w:rPr>
          <w:sz w:val="20"/>
          <w:szCs w:val="20"/>
          <w:color w:val="auto"/>
        </w:rPr>
      </w:pPr>
      <w:r>
        <w:rPr>
          <w:rFonts w:ascii="Arial" w:cs="Arial" w:eastAsia="Arial" w:hAnsi="Arial"/>
          <w:sz w:val="29"/>
          <w:szCs w:val="29"/>
          <w:b w:val="1"/>
          <w:bCs w:val="1"/>
          <w:color w:val="auto"/>
        </w:rPr>
        <w:t>Calculation of Filing Fee Tables</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29"/>
          <w:szCs w:val="29"/>
          <w:b w:val="1"/>
          <w:bCs w:val="1"/>
          <w:color w:val="auto"/>
        </w:rPr>
        <w:t>S-3</w:t>
      </w:r>
    </w:p>
    <w:p>
      <w:pPr>
        <w:spacing w:after="0" w:line="95"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Alignment Healthcare, Inc.</w:t>
      </w:r>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14"/>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9ADAF6"/>
          </w:tcPr>
          <w:p>
            <w:pPr>
              <w:jc w:val="center"/>
              <w:ind w:left="54"/>
              <w:spacing w:after="0"/>
              <w:rPr>
                <w:sz w:val="20"/>
                <w:szCs w:val="20"/>
                <w:color w:val="auto"/>
              </w:rPr>
            </w:pPr>
            <w:r>
              <w:rPr>
                <w:rFonts w:ascii="Arial" w:cs="Arial" w:eastAsia="Arial" w:hAnsi="Arial"/>
                <w:sz w:val="17"/>
                <w:szCs w:val="17"/>
                <w:b w:val="1"/>
                <w:bCs w:val="1"/>
                <w:color w:val="auto"/>
              </w:rPr>
              <w:t>Fee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8"/>
                <w:szCs w:val="8"/>
                <w:color w:val="auto"/>
              </w:rPr>
            </w:pPr>
          </w:p>
        </w:tc>
        <w:tc>
          <w:tcPr>
            <w:tcW w:w="8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8"/>
                <w:szCs w:val="8"/>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jc w:val="center"/>
              <w:spacing w:after="0" w:line="172"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960" w:type="dxa"/>
            <w:vAlign w:val="bottom"/>
            <w:gridSpan w:val="2"/>
            <w:shd w:val="clear" w:color="auto" w:fill="9ADAF6"/>
          </w:tcPr>
          <w:p>
            <w:pPr>
              <w:jc w:val="center"/>
              <w:spacing w:after="0" w:line="172"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4"/>
                <w:szCs w:val="14"/>
                <w:color w:val="auto"/>
              </w:rPr>
            </w:pPr>
          </w:p>
        </w:tc>
        <w:tc>
          <w:tcPr>
            <w:tcW w:w="9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72"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4"/>
                <w:szCs w:val="14"/>
                <w:color w:val="auto"/>
              </w:rPr>
            </w:pPr>
          </w:p>
        </w:tc>
        <w:tc>
          <w:tcPr>
            <w:tcW w:w="8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shd w:val="clear" w:color="auto" w:fill="9ADAF6"/>
          </w:tcPr>
          <w:p>
            <w:pPr>
              <w:jc w:val="right"/>
              <w:ind w:right="14"/>
              <w:spacing w:after="0" w:line="172"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72"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4"/>
                <w:szCs w:val="14"/>
                <w:color w:val="auto"/>
              </w:rPr>
            </w:pPr>
          </w:p>
        </w:tc>
        <w:tc>
          <w:tcPr>
            <w:tcW w:w="98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line="193"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840" w:type="dxa"/>
            <w:vAlign w:val="bottom"/>
            <w:shd w:val="clear" w:color="auto" w:fill="9ADAF6"/>
          </w:tcPr>
          <w:p>
            <w:pPr>
              <w:jc w:val="center"/>
              <w:ind w:left="54"/>
              <w:spacing w:after="0" w:line="193" w:lineRule="exact"/>
              <w:rPr>
                <w:sz w:val="20"/>
                <w:szCs w:val="20"/>
                <w:color w:val="auto"/>
              </w:rPr>
            </w:pPr>
            <w:r>
              <w:rPr>
                <w:rFonts w:ascii="Arial" w:cs="Arial" w:eastAsia="Arial" w:hAnsi="Arial"/>
                <w:sz w:val="17"/>
                <w:szCs w:val="17"/>
                <w:b w:val="1"/>
                <w:bCs w:val="1"/>
                <w:color w:val="auto"/>
                <w:w w:val="99"/>
              </w:rPr>
              <w:t>or Carry</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right"/>
              <w:ind w:right="65"/>
              <w:spacing w:after="0" w:line="193"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6"/>
                <w:szCs w:val="16"/>
                <w:color w:val="auto"/>
              </w:rPr>
            </w:pPr>
          </w:p>
        </w:tc>
        <w:tc>
          <w:tcPr>
            <w:tcW w:w="1040" w:type="dxa"/>
            <w:vAlign w:val="bottom"/>
            <w:shd w:val="clear" w:color="auto" w:fill="9ADAF6"/>
          </w:tcPr>
          <w:p>
            <w:pPr>
              <w:jc w:val="right"/>
              <w:spacing w:after="0" w:line="193"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ind w:left="160"/>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0"/>
                <w:szCs w:val="10"/>
                <w:color w:val="auto"/>
              </w:rPr>
            </w:pPr>
          </w:p>
        </w:tc>
        <w:tc>
          <w:tcPr>
            <w:tcW w:w="840" w:type="dxa"/>
            <w:vAlign w:val="bottom"/>
            <w:vMerge w:val="restart"/>
            <w:shd w:val="clear" w:color="auto" w:fill="9ADAF6"/>
          </w:tcPr>
          <w:p>
            <w:pPr>
              <w:jc w:val="center"/>
              <w:ind w:left="34"/>
              <w:spacing w:after="0"/>
              <w:rPr>
                <w:sz w:val="20"/>
                <w:szCs w:val="20"/>
                <w:color w:val="auto"/>
              </w:rPr>
            </w:pPr>
            <w:r>
              <w:rPr>
                <w:rFonts w:ascii="Arial" w:cs="Arial" w:eastAsia="Arial" w:hAnsi="Arial"/>
                <w:sz w:val="17"/>
                <w:szCs w:val="17"/>
                <w:b w:val="1"/>
                <w:bCs w:val="1"/>
                <w:color w:val="auto"/>
              </w:rPr>
              <w:t>Forward</w:t>
            </w: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right"/>
              <w:spacing w:after="0" w:line="118" w:lineRule="exact"/>
              <w:rPr>
                <w:sz w:val="20"/>
                <w:szCs w:val="20"/>
                <w:color w:val="auto"/>
              </w:rPr>
            </w:pPr>
            <w:r>
              <w:rPr>
                <w:rFonts w:ascii="Arial" w:cs="Arial" w:eastAsia="Arial" w:hAnsi="Arial"/>
                <w:sz w:val="13"/>
                <w:szCs w:val="13"/>
                <w:b w:val="1"/>
                <w:bCs w:val="1"/>
                <w:color w:val="auto"/>
              </w:rPr>
              <w:t>Registered</w:t>
            </w: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0"/>
                <w:szCs w:val="10"/>
                <w:color w:val="auto"/>
              </w:rPr>
            </w:pPr>
          </w:p>
        </w:tc>
        <w:tc>
          <w:tcPr>
            <w:tcW w:w="88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Offering</w:t>
            </w:r>
          </w:p>
        </w:tc>
        <w:tc>
          <w:tcPr>
            <w:tcW w:w="2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vMerge w:val="restart"/>
            <w:shd w:val="clear" w:color="auto" w:fill="9ADAF6"/>
          </w:tcPr>
          <w:p>
            <w:pPr>
              <w:jc w:val="right"/>
              <w:ind w:right="294"/>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Form</w:t>
            </w:r>
          </w:p>
        </w:tc>
        <w:tc>
          <w:tcPr>
            <w:tcW w:w="20" w:type="dxa"/>
            <w:vAlign w:val="bottom"/>
          </w:tcPr>
          <w:p>
            <w:pPr>
              <w:spacing w:after="0"/>
              <w:rPr>
                <w:sz w:val="10"/>
                <w:szCs w:val="10"/>
                <w:color w:val="auto"/>
              </w:rPr>
            </w:pPr>
          </w:p>
        </w:tc>
        <w:tc>
          <w:tcPr>
            <w:tcW w:w="7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File</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Unsold</w:t>
            </w: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vMerge w:val="continue"/>
            <w:shd w:val="clear" w:color="auto" w:fill="9ADAF6"/>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jc w:val="center"/>
              <w:spacing w:after="0" w:line="172"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2"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72"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2" w:lineRule="exact"/>
              <w:rPr>
                <w:sz w:val="20"/>
                <w:szCs w:val="20"/>
                <w:color w:val="auto"/>
              </w:rPr>
            </w:pPr>
            <w:r>
              <w:rPr>
                <w:rFonts w:ascii="Arial" w:cs="Arial" w:eastAsia="Arial" w:hAnsi="Arial"/>
                <w:sz w:val="17"/>
                <w:szCs w:val="17"/>
                <w:b w:val="1"/>
                <w:bCs w:val="1"/>
                <w:color w:val="auto"/>
              </w:rPr>
              <w:t>Securities</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jc w:val="center"/>
              <w:ind w:left="54"/>
              <w:spacing w:after="0" w:line="193" w:lineRule="exact"/>
              <w:rPr>
                <w:sz w:val="20"/>
                <w:szCs w:val="20"/>
                <w:color w:val="auto"/>
              </w:rPr>
            </w:pPr>
            <w:r>
              <w:rPr>
                <w:rFonts w:ascii="Arial" w:cs="Arial" w:eastAsia="Arial" w:hAnsi="Arial"/>
                <w:sz w:val="17"/>
                <w:szCs w:val="17"/>
                <w:b w:val="1"/>
                <w:bCs w:val="1"/>
                <w:color w:val="auto"/>
              </w:rPr>
              <w:t>Rule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to be</w:t>
            </w: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52"/>
        </w:trPr>
        <w:tc>
          <w:tcPr>
            <w:tcW w:w="40" w:type="dxa"/>
            <w:vAlign w:val="bottom"/>
            <w:tcBorders>
              <w:lef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20" w:type="dxa"/>
            <w:vAlign w:val="bottom"/>
            <w:gridSpan w:val="7"/>
          </w:tcPr>
          <w:p>
            <w:pPr>
              <w:jc w:val="right"/>
              <w:ind w:right="1214"/>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840" w:type="dxa"/>
            <w:vAlign w:val="bottom"/>
            <w:shd w:val="clear" w:color="auto" w:fill="E7E7E2"/>
          </w:tcPr>
          <w:p>
            <w:pPr>
              <w:ind w:left="20"/>
              <w:spacing w:after="0" w:line="188"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ind w:left="54"/>
              <w:spacing w:after="0"/>
              <w:rPr>
                <w:sz w:val="20"/>
                <w:szCs w:val="20"/>
                <w:color w:val="auto"/>
              </w:rPr>
            </w:pPr>
            <w:r>
              <w:rPr>
                <w:rFonts w:ascii="Arial" w:cs="Arial" w:eastAsia="Arial" w:hAnsi="Arial"/>
                <w:sz w:val="17"/>
                <w:szCs w:val="17"/>
                <w:color w:val="auto"/>
              </w:rPr>
              <w:t>457(r)</w:t>
            </w: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0.0001381</w:t>
            </w: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rPr>
              <w:t>Preferred</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16"/>
                <w:szCs w:val="16"/>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840" w:type="dxa"/>
            <w:vAlign w:val="bottom"/>
            <w:shd w:val="clear" w:color="auto" w:fill="E7E7E2"/>
          </w:tcPr>
          <w:p>
            <w:pPr>
              <w:ind w:left="20"/>
              <w:spacing w:after="0" w:line="193" w:lineRule="exact"/>
              <w:rPr>
                <w:sz w:val="20"/>
                <w:szCs w:val="20"/>
                <w:color w:val="auto"/>
              </w:rPr>
            </w:pPr>
            <w:r>
              <w:rPr>
                <w:rFonts w:ascii="Arial" w:cs="Arial" w:eastAsia="Arial" w:hAnsi="Arial"/>
                <w:sz w:val="17"/>
                <w:szCs w:val="17"/>
                <w:color w:val="auto"/>
              </w:rPr>
              <w:t>Stock, par</w:t>
            </w: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ind w:left="54"/>
              <w:spacing w:after="0"/>
              <w:rPr>
                <w:sz w:val="20"/>
                <w:szCs w:val="20"/>
                <w:color w:val="auto"/>
              </w:rPr>
            </w:pPr>
            <w:r>
              <w:rPr>
                <w:rFonts w:ascii="Arial" w:cs="Arial" w:eastAsia="Arial" w:hAnsi="Arial"/>
                <w:sz w:val="17"/>
                <w:szCs w:val="17"/>
                <w:color w:val="auto"/>
              </w:rPr>
              <w:t>457(r)</w:t>
            </w: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0.0001381</w:t>
            </w: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line="193"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restart"/>
            <w:shd w:val="clear" w:color="auto" w:fill="E7E7E2"/>
          </w:tcPr>
          <w:p>
            <w:pPr>
              <w:ind w:left="20"/>
              <w:spacing w:after="0" w:line="193"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40" w:type="dxa"/>
            <w:vAlign w:val="bottom"/>
            <w:tcBorders>
              <w:left w:val="single" w:sz="8" w:color="auto"/>
            </w:tcBorders>
          </w:tcPr>
          <w:p>
            <w:pPr>
              <w:spacing w:after="0"/>
              <w:rPr>
                <w:sz w:val="5"/>
                <w:szCs w:val="5"/>
                <w:color w:val="auto"/>
              </w:rPr>
            </w:pPr>
          </w:p>
        </w:tc>
        <w:tc>
          <w:tcPr>
            <w:tcW w:w="8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ind w:left="20"/>
              <w:spacing w:after="0"/>
              <w:rPr>
                <w:sz w:val="20"/>
                <w:szCs w:val="20"/>
                <w:color w:val="auto"/>
              </w:rPr>
            </w:pPr>
            <w:r>
              <w:rPr>
                <w:rFonts w:ascii="Arial" w:cs="Arial" w:eastAsia="Arial" w:hAnsi="Arial"/>
                <w:sz w:val="17"/>
                <w:szCs w:val="17"/>
                <w:color w:val="auto"/>
              </w:rPr>
              <w:t>$0.001</w:t>
            </w: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3</w:t>
            </w:r>
          </w:p>
        </w:tc>
        <w:tc>
          <w:tcPr>
            <w:tcW w:w="20" w:type="dxa"/>
            <w:vAlign w:val="bottom"/>
          </w:tcPr>
          <w:p>
            <w:pPr>
              <w:spacing w:after="0"/>
              <w:rPr>
                <w:sz w:val="16"/>
                <w:szCs w:val="16"/>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840" w:type="dxa"/>
            <w:vAlign w:val="bottom"/>
            <w:shd w:val="clear" w:color="auto" w:fill="E7E7E2"/>
          </w:tcPr>
          <w:p>
            <w:pPr>
              <w:ind w:left="20"/>
              <w:spacing w:after="0" w:line="193" w:lineRule="exact"/>
              <w:rPr>
                <w:sz w:val="20"/>
                <w:szCs w:val="20"/>
                <w:color w:val="auto"/>
              </w:rPr>
            </w:pPr>
            <w:r>
              <w:rPr>
                <w:rFonts w:ascii="Arial" w:cs="Arial" w:eastAsia="Arial" w:hAnsi="Arial"/>
                <w:sz w:val="17"/>
                <w:szCs w:val="17"/>
                <w:color w:val="auto"/>
              </w:rPr>
              <w:t>Stock, par</w:t>
            </w: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ind w:left="54"/>
              <w:spacing w:after="0"/>
              <w:rPr>
                <w:sz w:val="20"/>
                <w:szCs w:val="20"/>
                <w:color w:val="auto"/>
              </w:rPr>
            </w:pPr>
            <w:r>
              <w:rPr>
                <w:rFonts w:ascii="Arial" w:cs="Arial" w:eastAsia="Arial" w:hAnsi="Arial"/>
                <w:sz w:val="17"/>
                <w:szCs w:val="17"/>
                <w:color w:val="auto"/>
              </w:rPr>
              <w:t>457(r)</w:t>
            </w: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0.0001381</w:t>
            </w: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line="193"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restart"/>
            <w:shd w:val="clear" w:color="auto" w:fill="E7E7E2"/>
          </w:tcPr>
          <w:p>
            <w:pPr>
              <w:ind w:left="20"/>
              <w:spacing w:after="0" w:line="193"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40" w:type="dxa"/>
            <w:vAlign w:val="bottom"/>
            <w:tcBorders>
              <w:left w:val="single" w:sz="8" w:color="auto"/>
            </w:tcBorders>
          </w:tcPr>
          <w:p>
            <w:pPr>
              <w:spacing w:after="0"/>
              <w:rPr>
                <w:sz w:val="5"/>
                <w:szCs w:val="5"/>
                <w:color w:val="auto"/>
              </w:rPr>
            </w:pPr>
          </w:p>
        </w:tc>
        <w:tc>
          <w:tcPr>
            <w:tcW w:w="8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ind w:left="20"/>
              <w:spacing w:after="0"/>
              <w:rPr>
                <w:sz w:val="20"/>
                <w:szCs w:val="20"/>
                <w:color w:val="auto"/>
              </w:rPr>
            </w:pPr>
            <w:r>
              <w:rPr>
                <w:rFonts w:ascii="Arial" w:cs="Arial" w:eastAsia="Arial" w:hAnsi="Arial"/>
                <w:sz w:val="17"/>
                <w:szCs w:val="17"/>
                <w:color w:val="auto"/>
              </w:rPr>
              <w:t>$0.001</w:t>
            </w: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4</w:t>
            </w:r>
          </w:p>
        </w:tc>
        <w:tc>
          <w:tcPr>
            <w:tcW w:w="20" w:type="dxa"/>
            <w:vAlign w:val="bottom"/>
          </w:tcPr>
          <w:p>
            <w:pPr>
              <w:spacing w:after="0"/>
              <w:rPr>
                <w:sz w:val="15"/>
                <w:szCs w:val="15"/>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84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w w:val="98"/>
              </w:rPr>
              <w:t>Depositary</w:t>
            </w: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ind w:left="54"/>
              <w:spacing w:after="0"/>
              <w:rPr>
                <w:sz w:val="20"/>
                <w:szCs w:val="20"/>
                <w:color w:val="auto"/>
              </w:rPr>
            </w:pPr>
            <w:r>
              <w:rPr>
                <w:rFonts w:ascii="Arial" w:cs="Arial" w:eastAsia="Arial" w:hAnsi="Arial"/>
                <w:sz w:val="17"/>
                <w:szCs w:val="17"/>
                <w:color w:val="auto"/>
              </w:rPr>
              <w:t>457(r)</w:t>
            </w: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0.0001381</w:t>
            </w: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Shares</w:t>
            </w: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5</w:t>
            </w:r>
          </w:p>
        </w:tc>
        <w:tc>
          <w:tcPr>
            <w:tcW w:w="20" w:type="dxa"/>
            <w:vAlign w:val="bottom"/>
          </w:tcPr>
          <w:p>
            <w:pPr>
              <w:spacing w:after="0"/>
              <w:rPr>
                <w:sz w:val="15"/>
                <w:szCs w:val="15"/>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8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ind w:left="54"/>
              <w:spacing w:after="0"/>
              <w:rPr>
                <w:sz w:val="20"/>
                <w:szCs w:val="20"/>
                <w:color w:val="auto"/>
              </w:rPr>
            </w:pPr>
            <w:r>
              <w:rPr>
                <w:rFonts w:ascii="Arial" w:cs="Arial" w:eastAsia="Arial" w:hAnsi="Arial"/>
                <w:sz w:val="17"/>
                <w:szCs w:val="17"/>
                <w:color w:val="auto"/>
              </w:rPr>
              <w:t>457(r)</w:t>
            </w: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0.0001381</w:t>
            </w: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6</w:t>
            </w:r>
          </w:p>
        </w:tc>
        <w:tc>
          <w:tcPr>
            <w:tcW w:w="20" w:type="dxa"/>
            <w:vAlign w:val="bottom"/>
          </w:tcPr>
          <w:p>
            <w:pPr>
              <w:spacing w:after="0"/>
              <w:rPr>
                <w:sz w:val="15"/>
                <w:szCs w:val="15"/>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84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rPr>
              <w:t>Purchase</w:t>
            </w: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ind w:left="54"/>
              <w:spacing w:after="0"/>
              <w:rPr>
                <w:sz w:val="20"/>
                <w:szCs w:val="20"/>
                <w:color w:val="auto"/>
              </w:rPr>
            </w:pPr>
            <w:r>
              <w:rPr>
                <w:rFonts w:ascii="Arial" w:cs="Arial" w:eastAsia="Arial" w:hAnsi="Arial"/>
                <w:sz w:val="17"/>
                <w:szCs w:val="17"/>
                <w:color w:val="auto"/>
              </w:rPr>
              <w:t>457(r)</w:t>
            </w: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0.0001381</w:t>
            </w: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Contracts</w:t>
            </w: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7</w:t>
            </w:r>
          </w:p>
        </w:tc>
        <w:tc>
          <w:tcPr>
            <w:tcW w:w="20" w:type="dxa"/>
            <w:vAlign w:val="bottom"/>
          </w:tcPr>
          <w:p>
            <w:pPr>
              <w:spacing w:after="0"/>
              <w:rPr>
                <w:sz w:val="15"/>
                <w:szCs w:val="15"/>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8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Units</w:t>
            </w: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ind w:left="54"/>
              <w:spacing w:after="0"/>
              <w:rPr>
                <w:sz w:val="20"/>
                <w:szCs w:val="20"/>
                <w:color w:val="auto"/>
              </w:rPr>
            </w:pPr>
            <w:r>
              <w:rPr>
                <w:rFonts w:ascii="Arial" w:cs="Arial" w:eastAsia="Arial" w:hAnsi="Arial"/>
                <w:sz w:val="17"/>
                <w:szCs w:val="17"/>
                <w:color w:val="auto"/>
              </w:rPr>
              <w:t>457(r)</w:t>
            </w: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0.0001381</w:t>
            </w: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0" w:type="dxa"/>
            <w:vAlign w:val="bottom"/>
            <w:tcBorders>
              <w:lef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20" w:type="dxa"/>
            <w:vAlign w:val="bottom"/>
            <w:gridSpan w:val="7"/>
          </w:tcPr>
          <w:p>
            <w:pPr>
              <w:jc w:val="right"/>
              <w:ind w:right="1354"/>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4"/>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gridSpan w:val="6"/>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4"/>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0" w:type="dxa"/>
            <w:vAlign w:val="bottom"/>
            <w:tcBorders>
              <w:left w:val="single" w:sz="8" w:color="auto"/>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5" w:lineRule="exact"/>
        <w:rPr>
          <w:sz w:val="20"/>
          <w:szCs w:val="20"/>
          <w:color w:val="auto"/>
        </w:rPr>
      </w:pPr>
    </w:p>
    <w:p>
      <w:pPr>
        <w:ind w:left="220" w:right="140" w:hanging="182"/>
        <w:spacing w:after="0" w:line="234" w:lineRule="auto"/>
        <w:tabs>
          <w:tab w:leader="none" w:pos="220" w:val="left"/>
        </w:tabs>
        <w:numPr>
          <w:ilvl w:val="0"/>
          <w:numId w:val="36"/>
        </w:numPr>
        <w:rPr>
          <w:rFonts w:ascii="Arial" w:cs="Arial" w:eastAsia="Arial" w:hAnsi="Arial"/>
          <w:sz w:val="21"/>
          <w:szCs w:val="21"/>
          <w:color w:val="auto"/>
          <w:vertAlign w:val="superscript"/>
        </w:rPr>
      </w:pPr>
      <w:r>
        <w:rPr>
          <w:rFonts w:ascii="Arial" w:cs="Arial" w:eastAsia="Arial" w:hAnsi="Arial"/>
          <w:sz w:val="17"/>
          <w:szCs w:val="17"/>
          <w:color w:val="auto"/>
        </w:rPr>
        <w:t>(1) In accordance with Rules 456(b) and 457(r) under the Securities Act of 1933, as amended, Alignment Healthcare, Inc. ("Alignment") is deferring payment of all of the registration fee. Registration fees will be paid subsequently on a "pay as you go" basis. Alignment will calculate the registration fee applicable to an offer of securities pursuant to this Registration Statement based on the fee payment rate in effect on the date of such fee payment. (2) An indeterminate aggregate initial offering price and number or amount of the securities of each identified class is being registered as may from time to time be issued at indeterminate prices, including securities that may be issued upon exercise, conversion, settlement or exchange of, any securities offered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62230</wp:posOffset>
            </wp:positionV>
            <wp:extent cx="714502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27" w:lineRule="exact"/>
        <w:rPr>
          <w:sz w:val="20"/>
          <w:szCs w:val="20"/>
          <w:color w:val="auto"/>
        </w:rPr>
      </w:pPr>
    </w:p>
    <w:p>
      <w:pPr>
        <w:ind w:left="220" w:right="140" w:hanging="182"/>
        <w:spacing w:after="0" w:line="234" w:lineRule="auto"/>
        <w:tabs>
          <w:tab w:leader="none" w:pos="220" w:val="left"/>
        </w:tabs>
        <w:numPr>
          <w:ilvl w:val="0"/>
          <w:numId w:val="37"/>
        </w:numPr>
        <w:rPr>
          <w:rFonts w:ascii="Arial" w:cs="Arial" w:eastAsia="Arial" w:hAnsi="Arial"/>
          <w:sz w:val="21"/>
          <w:szCs w:val="21"/>
          <w:color w:val="auto"/>
          <w:vertAlign w:val="superscript"/>
        </w:rPr>
      </w:pPr>
      <w:r>
        <w:rPr>
          <w:rFonts w:ascii="Arial" w:cs="Arial" w:eastAsia="Arial" w:hAnsi="Arial"/>
          <w:sz w:val="17"/>
          <w:szCs w:val="17"/>
          <w:color w:val="auto"/>
        </w:rPr>
        <w:t>(1) In accordance with Rules 456(b) and 457(r) under the Securities Act of 1933, as amended, Alignment Healthcare, Inc. ("Alignment") is deferring payment of all of the registration fee. Registration fees will be paid subsequently on a "pay as you go" basis. Alignment will calculate the registration fee applicable to an offer of securities pursuant to this Registration Statement based on the fee payment rate in effect on the date of such fee payment. (2) An indeterminate aggregate initial offering price and number or amount of the securities of each identified class is being registered as may from time to time be issued at indeterminate prices, including securities that may be issued upon exercise, conversion, settlement or exchange of, any securities offered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62230</wp:posOffset>
            </wp:positionV>
            <wp:extent cx="714502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27" w:lineRule="exact"/>
        <w:rPr>
          <w:sz w:val="20"/>
          <w:szCs w:val="20"/>
          <w:color w:val="auto"/>
        </w:rPr>
      </w:pPr>
    </w:p>
    <w:p>
      <w:pPr>
        <w:ind w:left="220" w:right="140" w:hanging="182"/>
        <w:spacing w:after="0" w:line="234" w:lineRule="auto"/>
        <w:tabs>
          <w:tab w:leader="none" w:pos="220" w:val="left"/>
        </w:tabs>
        <w:numPr>
          <w:ilvl w:val="0"/>
          <w:numId w:val="38"/>
        </w:numPr>
        <w:rPr>
          <w:rFonts w:ascii="Arial" w:cs="Arial" w:eastAsia="Arial" w:hAnsi="Arial"/>
          <w:sz w:val="21"/>
          <w:szCs w:val="21"/>
          <w:color w:val="auto"/>
          <w:vertAlign w:val="superscript"/>
        </w:rPr>
      </w:pPr>
      <w:r>
        <w:rPr>
          <w:rFonts w:ascii="Arial" w:cs="Arial" w:eastAsia="Arial" w:hAnsi="Arial"/>
          <w:sz w:val="17"/>
          <w:szCs w:val="17"/>
          <w:color w:val="auto"/>
        </w:rPr>
        <w:t>(1) In accordance with Rules 456(b) and 457(r) under the Securities Act of 1933, as amended, Alignment Healthcare, Inc. ("Alignment") is deferring payment of all of the registration fee. Registration fees will be paid subsequently on a "pay as you go" basis. Alignment will calculate the registration fee applicable to an offer of securities pursuant to this Registration Statement based on the fee payment rate in effect on the date of such fee payment. (2) An indeterminate aggregate initial offering price and number or amount of the securities of each identified class is being registered as may from time to time be issued at indeterminate prices, including securities that may be issued upon exercise, conversion, settlement or exchange of, any securities offered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62230</wp:posOffset>
            </wp:positionV>
            <wp:extent cx="714502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27" w:lineRule="exact"/>
        <w:rPr>
          <w:sz w:val="20"/>
          <w:szCs w:val="20"/>
          <w:color w:val="auto"/>
        </w:rPr>
      </w:pPr>
    </w:p>
    <w:p>
      <w:pPr>
        <w:ind w:left="220" w:right="140" w:hanging="182"/>
        <w:spacing w:after="0" w:line="234" w:lineRule="auto"/>
        <w:tabs>
          <w:tab w:leader="none" w:pos="220" w:val="left"/>
        </w:tabs>
        <w:numPr>
          <w:ilvl w:val="0"/>
          <w:numId w:val="39"/>
        </w:numPr>
        <w:rPr>
          <w:rFonts w:ascii="Arial" w:cs="Arial" w:eastAsia="Arial" w:hAnsi="Arial"/>
          <w:sz w:val="21"/>
          <w:szCs w:val="21"/>
          <w:color w:val="auto"/>
          <w:vertAlign w:val="superscript"/>
        </w:rPr>
      </w:pPr>
      <w:r>
        <w:rPr>
          <w:rFonts w:ascii="Arial" w:cs="Arial" w:eastAsia="Arial" w:hAnsi="Arial"/>
          <w:sz w:val="17"/>
          <w:szCs w:val="17"/>
          <w:color w:val="auto"/>
        </w:rPr>
        <w:t>(1) In accordance with Rules 456(b) and 457(r) under the Securities Act of 1933, as amended, Alignment Healthcare, Inc. ("Alignment") is deferring payment of all of the registration fee. Registration fees will be paid subsequently on a "pay as you go" basis. Alignment will calculate the registration fee applicable to an offer of securities pursuant to this Registration Statement based on the fee payment rate in effect on the date of such fee payment. (2) An indeterminate aggregate initial offering price and number or amount of the securities of each identified class is being registered as may from time to time be issued at indeterminate prices, including securities that may be issued upon exercise, conversion, settlement or exchange of, any securities offered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62230</wp:posOffset>
            </wp:positionV>
            <wp:extent cx="714502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10" w:lineRule="exact"/>
        <w:rPr>
          <w:sz w:val="20"/>
          <w:szCs w:val="20"/>
          <w:color w:val="auto"/>
        </w:rPr>
      </w:pPr>
    </w:p>
    <w:p>
      <w:pPr>
        <w:ind w:left="220" w:hanging="182"/>
        <w:spacing w:after="0"/>
        <w:tabs>
          <w:tab w:leader="none" w:pos="220" w:val="left"/>
        </w:tabs>
        <w:numPr>
          <w:ilvl w:val="0"/>
          <w:numId w:val="40"/>
        </w:numPr>
        <w:rPr>
          <w:rFonts w:ascii="Arial" w:cs="Arial" w:eastAsia="Arial" w:hAnsi="Arial"/>
          <w:sz w:val="21"/>
          <w:szCs w:val="21"/>
          <w:color w:val="auto"/>
          <w:vertAlign w:val="superscript"/>
        </w:rPr>
      </w:pPr>
      <w:r>
        <w:rPr>
          <w:rFonts w:ascii="Arial" w:cs="Arial" w:eastAsia="Arial" w:hAnsi="Arial"/>
          <w:sz w:val="17"/>
          <w:szCs w:val="17"/>
          <w:color w:val="auto"/>
        </w:rPr>
        <w:t>(1) In accordance with Rules 456(b) and 457(r) under the Securities Act of 1933, as amended, Alignment Healthcare, Inc. ("Alignment") is</w:t>
      </w:r>
    </w:p>
    <w:p>
      <w:pPr>
        <w:sectPr>
          <w:pgSz w:w="11900" w:h="16929" w:orient="portrait"/>
          <w:cols w:equalWidth="0" w:num="1">
            <w:col w:w="11360"/>
          </w:cols>
          <w:pgMar w:left="300" w:top="142" w:right="239" w:bottom="0" w:gutter="0" w:footer="0" w:header="0"/>
        </w:sectPr>
      </w:pPr>
    </w:p>
    <w:bookmarkStart w:id="49" w:name="page50"/>
    <w:bookmarkEnd w:id="49"/>
    <w:p>
      <w:pPr>
        <w:ind w:left="220" w:right="60"/>
        <w:spacing w:after="0" w:line="246" w:lineRule="auto"/>
        <w:rPr>
          <w:sz w:val="20"/>
          <w:szCs w:val="20"/>
          <w:color w:val="auto"/>
        </w:rPr>
      </w:pPr>
      <w:r>
        <w:rPr>
          <w:rFonts w:ascii="Arial" w:cs="Arial" w:eastAsia="Arial" w:hAnsi="Arial"/>
          <w:sz w:val="17"/>
          <w:szCs w:val="17"/>
          <w:color w:val="auto"/>
        </w:rPr>
        <w:t>deferring payment of all of the registration fee. Registration fees will be paid subsequently on a "pay as you go" basis. Alignment will calculate the registration fee applicable to an offer of securities pursuant to this Registration Statement based on the fee payment rate in effect on the date of such fee payment. (2) An indeterminate aggregate initial offering price and number or amount of the securities of each identified class is being registered as may from time to time be issued at indeterminate prices, including securities that may be issued upon exercise, conversion, settlement or exchange of, any securities offered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59055</wp:posOffset>
            </wp:positionV>
            <wp:extent cx="714502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21" w:lineRule="exact"/>
        <w:rPr>
          <w:sz w:val="20"/>
          <w:szCs w:val="20"/>
          <w:color w:val="auto"/>
        </w:rPr>
      </w:pPr>
    </w:p>
    <w:p>
      <w:pPr>
        <w:ind w:left="220" w:right="60" w:hanging="182"/>
        <w:spacing w:after="0" w:line="234" w:lineRule="auto"/>
        <w:tabs>
          <w:tab w:leader="none" w:pos="220" w:val="left"/>
        </w:tabs>
        <w:numPr>
          <w:ilvl w:val="0"/>
          <w:numId w:val="41"/>
        </w:numPr>
        <w:rPr>
          <w:rFonts w:ascii="Arial" w:cs="Arial" w:eastAsia="Arial" w:hAnsi="Arial"/>
          <w:sz w:val="21"/>
          <w:szCs w:val="21"/>
          <w:color w:val="auto"/>
          <w:vertAlign w:val="superscript"/>
        </w:rPr>
      </w:pPr>
      <w:r>
        <w:rPr>
          <w:rFonts w:ascii="Arial" w:cs="Arial" w:eastAsia="Arial" w:hAnsi="Arial"/>
          <w:sz w:val="17"/>
          <w:szCs w:val="17"/>
          <w:color w:val="auto"/>
        </w:rPr>
        <w:t>(1) In accordance with Rules 456(b) and 457(r) under the Securities Act of 1933, as amended, Alignment Healthcare, Inc. ("Alignment") is deferring payment of all of the registration fee. Registration fees will be paid subsequently on a "pay as you go" basis. Alignment will calculate the registration fee applicable to an offer of securities pursuant to this Registration Statement based on the fee payment rate in effect on the date of such fee payment. (2) An indeterminate aggregate initial offering price and number or amount of the securities of each identified class is being registered as may from time to time be issued at indeterminate prices, including securities that may be issued upon exercise, conversion, settlement or exchange of, any securities offered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62230</wp:posOffset>
            </wp:positionV>
            <wp:extent cx="714502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27" w:lineRule="exact"/>
        <w:rPr>
          <w:sz w:val="20"/>
          <w:szCs w:val="20"/>
          <w:color w:val="auto"/>
        </w:rPr>
      </w:pPr>
    </w:p>
    <w:p>
      <w:pPr>
        <w:ind w:left="220" w:right="60" w:hanging="182"/>
        <w:spacing w:after="0" w:line="234" w:lineRule="auto"/>
        <w:tabs>
          <w:tab w:leader="none" w:pos="220" w:val="left"/>
        </w:tabs>
        <w:numPr>
          <w:ilvl w:val="0"/>
          <w:numId w:val="42"/>
        </w:numPr>
        <w:rPr>
          <w:rFonts w:ascii="Arial" w:cs="Arial" w:eastAsia="Arial" w:hAnsi="Arial"/>
          <w:sz w:val="21"/>
          <w:szCs w:val="21"/>
          <w:color w:val="auto"/>
          <w:vertAlign w:val="superscript"/>
        </w:rPr>
      </w:pPr>
      <w:r>
        <w:rPr>
          <w:rFonts w:ascii="Arial" w:cs="Arial" w:eastAsia="Arial" w:hAnsi="Arial"/>
          <w:sz w:val="17"/>
          <w:szCs w:val="17"/>
          <w:color w:val="auto"/>
        </w:rPr>
        <w:t>(1) In accordance with Rules 456(b) and 457(r) under the Securities Act of 1933, as amended, Alignment Healthcare, Inc. ("Alignment") is deferring payment of all of the registration fee. Registration fees will be paid subsequently on a "pay as you go" basis. Alignment will calculate the registration fee applicable to an offer of securities pursuant to this Registration Statement based on the fee payment rate in effect on the date of such fee payment. (2) An indeterminate aggregate initial offering price and number or amount of the securities of each identified class is being registered as may from time to time be issued at indeterminate prices, including securities that may be issued upon exercise, conversion, settlement or exchange of, any securities offered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62230</wp:posOffset>
            </wp:positionV>
            <wp:extent cx="714502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0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40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shd w:val="clear" w:color="auto" w:fill="9ADAF6"/>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80" w:type="dxa"/>
            <w:vAlign w:val="bottom"/>
            <w:tcBorders>
              <w:left w:val="single" w:sz="8" w:color="9ADAF6"/>
            </w:tcBorders>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40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880" w:type="dxa"/>
            <w:vAlign w:val="bottom"/>
            <w:gridSpan w:val="2"/>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Security</w:t>
            </w:r>
          </w:p>
        </w:tc>
        <w:tc>
          <w:tcPr>
            <w:tcW w:w="80" w:type="dxa"/>
            <w:vAlign w:val="bottom"/>
            <w:tcBorders>
              <w:left w:val="single" w:sz="8" w:color="9ADAF6"/>
            </w:tcBorders>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Unsold</w:t>
            </w:r>
          </w:p>
        </w:tc>
        <w:tc>
          <w:tcPr>
            <w:tcW w:w="40" w:type="dxa"/>
            <w:vAlign w:val="bottom"/>
          </w:tcPr>
          <w:p>
            <w:pPr>
              <w:spacing w:after="0"/>
              <w:rPr>
                <w:sz w:val="16"/>
                <w:szCs w:val="16"/>
                <w:color w:val="auto"/>
              </w:rPr>
            </w:pPr>
          </w:p>
        </w:tc>
        <w:tc>
          <w:tcPr>
            <w:tcW w:w="96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440" w:type="dxa"/>
            <w:vAlign w:val="bottom"/>
            <w:gridSpan w:val="3"/>
            <w:vMerge w:val="restart"/>
            <w:shd w:val="clear" w:color="auto" w:fill="9ADAF6"/>
          </w:tcPr>
          <w:p>
            <w:pPr>
              <w:jc w:val="center"/>
              <w:ind w:right="100"/>
              <w:spacing w:after="0"/>
              <w:rPr>
                <w:sz w:val="20"/>
                <w:szCs w:val="20"/>
                <w:color w:val="auto"/>
              </w:rPr>
            </w:pPr>
            <w:r>
              <w:rPr>
                <w:rFonts w:ascii="Arial" w:cs="Arial" w:eastAsia="Arial" w:hAnsi="Arial"/>
                <w:sz w:val="17"/>
                <w:szCs w:val="17"/>
                <w:b w:val="1"/>
                <w:bCs w:val="1"/>
                <w:color w:val="auto"/>
              </w:rPr>
              <w:t>Fee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880" w:type="dxa"/>
            <w:vAlign w:val="bottom"/>
            <w:gridSpan w:val="2"/>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Title</w:t>
            </w:r>
          </w:p>
        </w:tc>
        <w:tc>
          <w:tcPr>
            <w:tcW w:w="80" w:type="dxa"/>
            <w:vAlign w:val="bottom"/>
            <w:tcBorders>
              <w:left w:val="single" w:sz="8" w:color="9ADAF6"/>
            </w:tcBorders>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Securities</w:t>
            </w:r>
          </w:p>
        </w:tc>
        <w:tc>
          <w:tcPr>
            <w:tcW w:w="40" w:type="dxa"/>
            <w:vAlign w:val="bottom"/>
          </w:tcPr>
          <w:p>
            <w:pPr>
              <w:spacing w:after="0"/>
              <w:rPr>
                <w:sz w:val="16"/>
                <w:szCs w:val="16"/>
                <w:color w:val="auto"/>
              </w:rPr>
            </w:pPr>
          </w:p>
        </w:tc>
        <w:tc>
          <w:tcPr>
            <w:tcW w:w="96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3"/>
            <w:shd w:val="clear" w:color="auto" w:fill="9ADAF6"/>
          </w:tcPr>
          <w:p>
            <w:pPr>
              <w:ind w:left="20"/>
              <w:spacing w:after="0" w:line="172" w:lineRule="exact"/>
              <w:rPr>
                <w:sz w:val="20"/>
                <w:szCs w:val="20"/>
                <w:color w:val="auto"/>
              </w:rPr>
            </w:pPr>
            <w:r>
              <w:rPr>
                <w:rFonts w:ascii="Arial" w:cs="Arial" w:eastAsia="Arial" w:hAnsi="Arial"/>
                <w:sz w:val="17"/>
                <w:szCs w:val="17"/>
                <w:b w:val="1"/>
                <w:bCs w:val="1"/>
                <w:color w:val="auto"/>
              </w:rPr>
              <w:t>Registrant or Filer</w:t>
            </w: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72" w:lineRule="exact"/>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72"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4"/>
                <w:szCs w:val="14"/>
                <w:color w:val="auto"/>
              </w:rPr>
            </w:pPr>
          </w:p>
        </w:tc>
        <w:tc>
          <w:tcPr>
            <w:tcW w:w="600" w:type="dxa"/>
            <w:vAlign w:val="bottom"/>
            <w:tcBorders>
              <w:right w:val="single" w:sz="8" w:color="9ADAF6"/>
            </w:tcBorders>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72"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180" w:type="dxa"/>
            <w:vAlign w:val="bottom"/>
            <w:shd w:val="clear" w:color="auto" w:fill="9ADAF6"/>
          </w:tcPr>
          <w:p>
            <w:pPr>
              <w:spacing w:after="0"/>
              <w:rPr>
                <w:sz w:val="14"/>
                <w:szCs w:val="14"/>
                <w:color w:val="auto"/>
              </w:rPr>
            </w:pPr>
          </w:p>
        </w:tc>
        <w:tc>
          <w:tcPr>
            <w:tcW w:w="440" w:type="dxa"/>
            <w:vAlign w:val="bottom"/>
            <w:gridSpan w:val="3"/>
            <w:vMerge w:val="continue"/>
            <w:shd w:val="clear" w:color="auto" w:fill="9ADAF6"/>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72"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4"/>
                <w:szCs w:val="14"/>
                <w:color w:val="auto"/>
              </w:rPr>
            </w:pPr>
          </w:p>
        </w:tc>
        <w:tc>
          <w:tcPr>
            <w:tcW w:w="880" w:type="dxa"/>
            <w:vAlign w:val="bottom"/>
            <w:gridSpan w:val="2"/>
            <w:shd w:val="clear" w:color="auto" w:fill="9ADAF6"/>
          </w:tcPr>
          <w:p>
            <w:pPr>
              <w:jc w:val="center"/>
              <w:spacing w:after="0" w:line="172" w:lineRule="exact"/>
              <w:rPr>
                <w:sz w:val="20"/>
                <w:szCs w:val="20"/>
                <w:color w:val="auto"/>
              </w:rPr>
            </w:pPr>
            <w:r>
              <w:rPr>
                <w:rFonts w:ascii="Arial" w:cs="Arial" w:eastAsia="Arial" w:hAnsi="Arial"/>
                <w:sz w:val="17"/>
                <w:szCs w:val="17"/>
                <w:b w:val="1"/>
                <w:bCs w:val="1"/>
                <w:color w:val="auto"/>
              </w:rPr>
              <w:t>Associated</w:t>
            </w:r>
          </w:p>
        </w:tc>
        <w:tc>
          <w:tcPr>
            <w:tcW w:w="80" w:type="dxa"/>
            <w:vAlign w:val="bottom"/>
            <w:tcBorders>
              <w:left w:val="single" w:sz="8" w:color="9ADAF6"/>
            </w:tcBorders>
          </w:tcPr>
          <w:p>
            <w:pPr>
              <w:spacing w:after="0"/>
              <w:rPr>
                <w:sz w:val="14"/>
                <w:szCs w:val="14"/>
                <w:color w:val="auto"/>
              </w:rPr>
            </w:pPr>
          </w:p>
        </w:tc>
        <w:tc>
          <w:tcPr>
            <w:tcW w:w="940" w:type="dxa"/>
            <w:vAlign w:val="bottom"/>
            <w:gridSpan w:val="3"/>
            <w:shd w:val="clear" w:color="auto" w:fill="9ADAF6"/>
          </w:tcPr>
          <w:p>
            <w:pPr>
              <w:jc w:val="center"/>
              <w:spacing w:after="0" w:line="172" w:lineRule="exact"/>
              <w:rPr>
                <w:sz w:val="20"/>
                <w:szCs w:val="20"/>
                <w:color w:val="auto"/>
              </w:rPr>
            </w:pPr>
            <w:r>
              <w:rPr>
                <w:rFonts w:ascii="Arial" w:cs="Arial" w:eastAsia="Arial" w:hAnsi="Arial"/>
                <w:sz w:val="17"/>
                <w:szCs w:val="17"/>
                <w:b w:val="1"/>
                <w:bCs w:val="1"/>
                <w:color w:val="auto"/>
              </w:rPr>
              <w:t>Associated</w:t>
            </w:r>
          </w:p>
        </w:tc>
        <w:tc>
          <w:tcPr>
            <w:tcW w:w="40" w:type="dxa"/>
            <w:vAlign w:val="bottom"/>
          </w:tcPr>
          <w:p>
            <w:pPr>
              <w:spacing w:after="0"/>
              <w:rPr>
                <w:sz w:val="14"/>
                <w:szCs w:val="14"/>
                <w:color w:val="auto"/>
              </w:rPr>
            </w:pPr>
          </w:p>
        </w:tc>
        <w:tc>
          <w:tcPr>
            <w:tcW w:w="960" w:type="dxa"/>
            <w:vAlign w:val="bottom"/>
            <w:gridSpan w:val="3"/>
            <w:shd w:val="clear" w:color="auto" w:fill="9ADAF6"/>
          </w:tcPr>
          <w:p>
            <w:pPr>
              <w:jc w:val="center"/>
              <w:spacing w:after="0" w:line="172"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14"/>
                <w:szCs w:val="14"/>
                <w:color w:val="auto"/>
              </w:rPr>
            </w:pPr>
          </w:p>
        </w:tc>
        <w:tc>
          <w:tcPr>
            <w:tcW w:w="640" w:type="dxa"/>
            <w:vAlign w:val="bottom"/>
            <w:shd w:val="clear" w:color="auto" w:fill="9ADAF6"/>
          </w:tcPr>
          <w:p>
            <w:pPr>
              <w:jc w:val="center"/>
              <w:spacing w:after="0" w:line="172" w:lineRule="exact"/>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ind w:left="220"/>
              <w:spacing w:after="0" w:line="193" w:lineRule="exact"/>
              <w:rPr>
                <w:sz w:val="20"/>
                <w:szCs w:val="20"/>
                <w:color w:val="auto"/>
              </w:rPr>
            </w:pPr>
            <w:r>
              <w:rPr>
                <w:rFonts w:ascii="Arial" w:cs="Arial" w:eastAsia="Arial" w:hAnsi="Arial"/>
                <w:sz w:val="17"/>
                <w:szCs w:val="17"/>
                <w:b w:val="1"/>
                <w:bCs w:val="1"/>
                <w:color w:val="auto"/>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6"/>
                <w:szCs w:val="16"/>
                <w:color w:val="auto"/>
              </w:rPr>
            </w:pPr>
          </w:p>
        </w:tc>
        <w:tc>
          <w:tcPr>
            <w:tcW w:w="600" w:type="dxa"/>
            <w:vAlign w:val="bottom"/>
            <w:tcBorders>
              <w:right w:val="single" w:sz="8" w:color="9ADAF6"/>
            </w:tcBorders>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20" w:type="dxa"/>
            <w:vAlign w:val="bottom"/>
            <w:gridSpan w:val="4"/>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Offset</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6"/>
                <w:szCs w:val="16"/>
                <w:color w:val="auto"/>
              </w:rPr>
            </w:pPr>
          </w:p>
        </w:tc>
        <w:tc>
          <w:tcPr>
            <w:tcW w:w="880" w:type="dxa"/>
            <w:vAlign w:val="bottom"/>
            <w:gridSpan w:val="2"/>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 Fee</w:t>
            </w:r>
          </w:p>
        </w:tc>
        <w:tc>
          <w:tcPr>
            <w:tcW w:w="80" w:type="dxa"/>
            <w:vAlign w:val="bottom"/>
            <w:tcBorders>
              <w:left w:val="single" w:sz="8" w:color="9ADAF6"/>
            </w:tcBorders>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 Fee</w:t>
            </w:r>
          </w:p>
        </w:tc>
        <w:tc>
          <w:tcPr>
            <w:tcW w:w="40" w:type="dxa"/>
            <w:vAlign w:val="bottom"/>
          </w:tcPr>
          <w:p>
            <w:pPr>
              <w:spacing w:after="0"/>
              <w:rPr>
                <w:sz w:val="16"/>
                <w:szCs w:val="16"/>
                <w:color w:val="auto"/>
              </w:rPr>
            </w:pPr>
          </w:p>
        </w:tc>
        <w:tc>
          <w:tcPr>
            <w:tcW w:w="96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right w:val="single" w:sz="8" w:color="9ADAF6"/>
            </w:tcBorders>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5"/>
            <w:shd w:val="clear" w:color="auto" w:fill="9ADAF6"/>
          </w:tcPr>
          <w:p>
            <w:pPr>
              <w:jc w:val="right"/>
              <w:spacing w:after="0" w:line="193"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880" w:type="dxa"/>
            <w:vAlign w:val="bottom"/>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80" w:type="dxa"/>
            <w:vAlign w:val="bottom"/>
            <w:tcBorders>
              <w:left w:val="single" w:sz="8" w:color="9ADAF6"/>
            </w:tcBorders>
          </w:tcPr>
          <w:p>
            <w:pPr>
              <w:spacing w:after="0"/>
              <w:rPr>
                <w:sz w:val="16"/>
                <w:szCs w:val="16"/>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40" w:type="dxa"/>
            <w:vAlign w:val="bottom"/>
          </w:tcPr>
          <w:p>
            <w:pPr>
              <w:spacing w:after="0"/>
              <w:rPr>
                <w:sz w:val="16"/>
                <w:szCs w:val="16"/>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2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9ADAF6"/>
          </w:tcPr>
          <w:p>
            <w:pPr>
              <w:spacing w:after="0" w:line="20" w:lineRule="exact"/>
              <w:rPr>
                <w:sz w:val="1"/>
                <w:szCs w:val="1"/>
                <w:color w:val="auto"/>
              </w:rPr>
            </w:pPr>
          </w:p>
        </w:tc>
        <w:tc>
          <w:tcPr>
            <w:tcW w:w="40" w:type="dxa"/>
            <w:vAlign w:val="bottom"/>
            <w:shd w:val="clear" w:color="auto" w:fill="9ADAF6"/>
          </w:tcPr>
          <w:p>
            <w:pPr>
              <w:spacing w:after="0" w:line="20" w:lineRule="exact"/>
              <w:rPr>
                <w:sz w:val="1"/>
                <w:szCs w:val="1"/>
                <w:color w:val="auto"/>
              </w:rPr>
            </w:pPr>
          </w:p>
        </w:tc>
        <w:tc>
          <w:tcPr>
            <w:tcW w:w="400" w:type="dxa"/>
            <w:vAlign w:val="bottom"/>
            <w:tcBorders>
              <w:right w:val="single" w:sz="8" w:color="9ADAF6"/>
            </w:tcBorders>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9ADAF6"/>
          </w:tcPr>
          <w:p>
            <w:pPr>
              <w:spacing w:after="0" w:line="20" w:lineRule="exact"/>
              <w:rPr>
                <w:sz w:val="1"/>
                <w:szCs w:val="1"/>
                <w:color w:val="auto"/>
              </w:rPr>
            </w:pPr>
          </w:p>
        </w:tc>
        <w:tc>
          <w:tcPr>
            <w:tcW w:w="32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vMerge w:val="continue"/>
            <w:shd w:val="clear" w:color="auto" w:fill="9ADAF6"/>
          </w:tcPr>
          <w:p>
            <w:pPr>
              <w:spacing w:after="0" w:line="20" w:lineRule="exact"/>
              <w:rPr>
                <w:sz w:val="1"/>
                <w:szCs w:val="1"/>
                <w:color w:val="auto"/>
              </w:rPr>
            </w:pPr>
          </w:p>
        </w:tc>
        <w:tc>
          <w:tcPr>
            <w:tcW w:w="80" w:type="dxa"/>
            <w:vAlign w:val="bottom"/>
            <w:tcBorders>
              <w:left w:val="single" w:sz="8" w:color="9ADAF6"/>
            </w:tcBorders>
          </w:tcPr>
          <w:p>
            <w:pPr>
              <w:spacing w:after="0" w:line="20" w:lineRule="exact"/>
              <w:rPr>
                <w:sz w:val="1"/>
                <w:szCs w:val="1"/>
                <w:color w:val="auto"/>
              </w:rPr>
            </w:pPr>
          </w:p>
        </w:tc>
        <w:tc>
          <w:tcPr>
            <w:tcW w:w="940" w:type="dxa"/>
            <w:vAlign w:val="bottom"/>
            <w:gridSpan w:val="3"/>
            <w:vMerge w:val="continue"/>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vMerge w:val="continue"/>
            <w:shd w:val="clear" w:color="auto" w:fill="9ADAF6"/>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40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880" w:type="dxa"/>
            <w:vAlign w:val="bottom"/>
            <w:gridSpan w:val="2"/>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Claimed</w:t>
            </w:r>
          </w:p>
        </w:tc>
        <w:tc>
          <w:tcPr>
            <w:tcW w:w="80" w:type="dxa"/>
            <w:vAlign w:val="bottom"/>
            <w:tcBorders>
              <w:left w:val="single" w:sz="8" w:color="9ADAF6"/>
            </w:tcBorders>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Claimed</w:t>
            </w:r>
          </w:p>
        </w:tc>
        <w:tc>
          <w:tcPr>
            <w:tcW w:w="40" w:type="dxa"/>
            <w:vAlign w:val="bottom"/>
          </w:tcPr>
          <w:p>
            <w:pPr>
              <w:spacing w:after="0"/>
              <w:rPr>
                <w:sz w:val="16"/>
                <w:szCs w:val="16"/>
                <w:color w:val="auto"/>
              </w:rPr>
            </w:pPr>
          </w:p>
        </w:tc>
        <w:tc>
          <w:tcPr>
            <w:tcW w:w="96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40" w:type="dxa"/>
            <w:vAlign w:val="bottom"/>
            <w:shd w:val="clear" w:color="auto" w:fill="9ADAF6"/>
          </w:tcPr>
          <w:p>
            <w:pPr>
              <w:spacing w:after="0"/>
              <w:rPr>
                <w:sz w:val="19"/>
                <w:szCs w:val="19"/>
                <w:color w:val="auto"/>
              </w:rPr>
            </w:pPr>
          </w:p>
        </w:tc>
        <w:tc>
          <w:tcPr>
            <w:tcW w:w="40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40" w:type="dxa"/>
            <w:vAlign w:val="bottom"/>
            <w:shd w:val="clear" w:color="auto" w:fill="9ADAF6"/>
          </w:tcPr>
          <w:p>
            <w:pPr>
              <w:spacing w:after="0"/>
              <w:rPr>
                <w:sz w:val="19"/>
                <w:szCs w:val="19"/>
                <w:color w:val="auto"/>
              </w:rPr>
            </w:pPr>
          </w:p>
        </w:tc>
        <w:tc>
          <w:tcPr>
            <w:tcW w:w="80" w:type="dxa"/>
            <w:vAlign w:val="bottom"/>
            <w:tcBorders>
              <w:left w:val="single" w:sz="8" w:color="9ADAF6"/>
            </w:tcBorders>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80" w:type="dxa"/>
            <w:vAlign w:val="bottom"/>
            <w:gridSpan w:val="15"/>
          </w:tcPr>
          <w:p>
            <w:pPr>
              <w:jc w:val="center"/>
              <w:ind w:right="234"/>
              <w:spacing w:after="0"/>
              <w:rPr>
                <w:sz w:val="20"/>
                <w:szCs w:val="20"/>
                <w:color w:val="auto"/>
              </w:rPr>
            </w:pPr>
            <w:r>
              <w:rPr>
                <w:rFonts w:ascii="Arial" w:cs="Arial" w:eastAsia="Arial" w:hAnsi="Arial"/>
                <w:sz w:val="17"/>
                <w:szCs w:val="17"/>
                <w:b w:val="1"/>
                <w:bCs w:val="1"/>
                <w:color w:val="auto"/>
                <w:w w:val="99"/>
              </w:rPr>
              <w:t>Rules 457(b) and 0-11(a)(2)</w:t>
            </w: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spacing w:after="0" w:line="18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300" w:type="dxa"/>
            <w:vAlign w:val="bottom"/>
            <w:gridSpan w:val="2"/>
            <w:vMerge w:val="restart"/>
            <w:shd w:val="clear" w:color="auto" w:fill="E7E7E2"/>
          </w:tcPr>
          <w:p>
            <w:pPr>
              <w:spacing w:after="0"/>
              <w:rPr>
                <w:sz w:val="20"/>
                <w:szCs w:val="20"/>
                <w:color w:val="auto"/>
              </w:rPr>
            </w:pPr>
            <w:r>
              <w:rPr>
                <w:rFonts w:ascii="Arial" w:cs="Arial" w:eastAsia="Arial" w:hAnsi="Arial"/>
                <w:sz w:val="17"/>
                <w:szCs w:val="17"/>
                <w:color w:val="auto"/>
                <w:w w:val="98"/>
              </w:rPr>
              <w:t>N/A</w:t>
            </w: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00" w:type="dxa"/>
            <w:vAlign w:val="bottom"/>
            <w:tcBorders>
              <w:right w:val="single" w:sz="8" w:color="E7E7E2"/>
            </w:tcBorders>
            <w:gridSpan w:val="3"/>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80" w:type="dxa"/>
            <w:vAlign w:val="bottom"/>
            <w:shd w:val="clear" w:color="auto" w:fill="E7E7E2"/>
          </w:tcPr>
          <w:p>
            <w:pPr>
              <w:spacing w:after="0"/>
              <w:rPr>
                <w:sz w:val="16"/>
                <w:szCs w:val="16"/>
                <w:color w:val="auto"/>
              </w:rPr>
            </w:pPr>
          </w:p>
        </w:tc>
        <w:tc>
          <w:tcPr>
            <w:tcW w:w="520" w:type="dxa"/>
            <w:vAlign w:val="bottom"/>
            <w:gridSpan w:val="4"/>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880" w:type="dxa"/>
            <w:vAlign w:val="bottom"/>
            <w:gridSpan w:val="2"/>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80" w:type="dxa"/>
            <w:vAlign w:val="bottom"/>
            <w:tcBorders>
              <w:left w:val="single" w:sz="8" w:color="E7E7E2"/>
            </w:tcBorders>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6"/>
                <w:szCs w:val="16"/>
                <w:color w:val="auto"/>
              </w:rPr>
            </w:pPr>
          </w:p>
        </w:tc>
        <w:tc>
          <w:tcPr>
            <w:tcW w:w="960" w:type="dxa"/>
            <w:vAlign w:val="bottom"/>
            <w:gridSpan w:val="3"/>
            <w:vMerge w:val="restart"/>
            <w:shd w:val="clear" w:color="auto" w:fill="E7E7E2"/>
          </w:tcPr>
          <w:p>
            <w:pPr>
              <w:ind w:left="6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1"/>
              </w:rPr>
              <w:t>N/A</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9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12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shd w:val="clear" w:color="auto" w:fill="E7E7E2"/>
          </w:tcPr>
          <w:p>
            <w:pPr>
              <w:spacing w:after="0"/>
              <w:rPr>
                <w:sz w:val="11"/>
                <w:szCs w:val="11"/>
                <w:color w:val="auto"/>
              </w:rPr>
            </w:pPr>
          </w:p>
        </w:tc>
        <w:tc>
          <w:tcPr>
            <w:tcW w:w="520" w:type="dxa"/>
            <w:vAlign w:val="bottom"/>
            <w:gridSpan w:val="4"/>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vMerge w:val="continue"/>
            <w:shd w:val="clear" w:color="auto" w:fill="E7E7E2"/>
          </w:tcPr>
          <w:p>
            <w:pPr>
              <w:spacing w:after="0"/>
              <w:rPr>
                <w:sz w:val="11"/>
                <w:szCs w:val="11"/>
                <w:color w:val="auto"/>
              </w:rPr>
            </w:pPr>
          </w:p>
        </w:tc>
        <w:tc>
          <w:tcPr>
            <w:tcW w:w="80" w:type="dxa"/>
            <w:vAlign w:val="bottom"/>
            <w:tcBorders>
              <w:left w:val="single" w:sz="8" w:color="E7E7E2"/>
            </w:tcBorders>
          </w:tcPr>
          <w:p>
            <w:pPr>
              <w:spacing w:after="0"/>
              <w:rPr>
                <w:sz w:val="11"/>
                <w:szCs w:val="11"/>
                <w:color w:val="auto"/>
              </w:rPr>
            </w:pPr>
          </w:p>
        </w:tc>
        <w:tc>
          <w:tcPr>
            <w:tcW w:w="5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96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40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80" w:type="dxa"/>
            <w:vAlign w:val="bottom"/>
            <w:tcBorders>
              <w:left w:val="single" w:sz="8" w:color="E7E7E2"/>
            </w:tcBorders>
          </w:tcPr>
          <w:p>
            <w:pPr>
              <w:spacing w:after="0"/>
              <w:rPr>
                <w:sz w:val="8"/>
                <w:szCs w:val="8"/>
                <w:color w:val="auto"/>
              </w:rPr>
            </w:pPr>
          </w:p>
        </w:tc>
        <w:tc>
          <w:tcPr>
            <w:tcW w:w="5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60" w:type="dxa"/>
            <w:vAlign w:val="bottom"/>
            <w:gridSpan w:val="3"/>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300" w:type="dxa"/>
            <w:vAlign w:val="bottom"/>
            <w:gridSpan w:val="2"/>
            <w:vMerge w:val="restart"/>
            <w:shd w:val="clear" w:color="auto" w:fill="E7E7E2"/>
          </w:tcPr>
          <w:p>
            <w:pPr>
              <w:spacing w:after="0"/>
              <w:rPr>
                <w:sz w:val="20"/>
                <w:szCs w:val="20"/>
                <w:color w:val="auto"/>
              </w:rPr>
            </w:pPr>
            <w:r>
              <w:rPr>
                <w:rFonts w:ascii="Arial" w:cs="Arial" w:eastAsia="Arial" w:hAnsi="Arial"/>
                <w:sz w:val="17"/>
                <w:szCs w:val="17"/>
                <w:color w:val="auto"/>
                <w:w w:val="98"/>
              </w:rPr>
              <w:t>N/A</w:t>
            </w: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00" w:type="dxa"/>
            <w:vAlign w:val="bottom"/>
            <w:tcBorders>
              <w:right w:val="single" w:sz="8" w:color="E7E7E2"/>
            </w:tcBorders>
            <w:gridSpan w:val="3"/>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80" w:type="dxa"/>
            <w:vAlign w:val="bottom"/>
            <w:shd w:val="clear" w:color="auto" w:fill="E7E7E2"/>
          </w:tcPr>
          <w:p>
            <w:pPr>
              <w:spacing w:after="0"/>
              <w:rPr>
                <w:sz w:val="15"/>
                <w:szCs w:val="15"/>
                <w:color w:val="auto"/>
              </w:rPr>
            </w:pPr>
          </w:p>
        </w:tc>
        <w:tc>
          <w:tcPr>
            <w:tcW w:w="520" w:type="dxa"/>
            <w:vAlign w:val="bottom"/>
            <w:gridSpan w:val="4"/>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880" w:type="dxa"/>
            <w:vAlign w:val="bottom"/>
            <w:gridSpan w:val="2"/>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80" w:type="dxa"/>
            <w:vAlign w:val="bottom"/>
            <w:tcBorders>
              <w:left w:val="single" w:sz="8" w:color="E7E7E2"/>
            </w:tcBorders>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5"/>
                <w:szCs w:val="15"/>
                <w:color w:val="auto"/>
              </w:rPr>
            </w:pPr>
          </w:p>
        </w:tc>
        <w:tc>
          <w:tcPr>
            <w:tcW w:w="960" w:type="dxa"/>
            <w:vAlign w:val="bottom"/>
            <w:gridSpan w:val="3"/>
            <w:vMerge w:val="restart"/>
            <w:shd w:val="clear" w:color="auto" w:fill="E7E7E2"/>
          </w:tcPr>
          <w:p>
            <w:pPr>
              <w:ind w:left="6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1"/>
              </w:rPr>
              <w:t>N/A</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9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12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shd w:val="clear" w:color="auto" w:fill="E7E7E2"/>
          </w:tcPr>
          <w:p>
            <w:pPr>
              <w:spacing w:after="0"/>
              <w:rPr>
                <w:sz w:val="11"/>
                <w:szCs w:val="11"/>
                <w:color w:val="auto"/>
              </w:rPr>
            </w:pPr>
          </w:p>
        </w:tc>
        <w:tc>
          <w:tcPr>
            <w:tcW w:w="520" w:type="dxa"/>
            <w:vAlign w:val="bottom"/>
            <w:gridSpan w:val="4"/>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vMerge w:val="continue"/>
            <w:shd w:val="clear" w:color="auto" w:fill="E7E7E2"/>
          </w:tcPr>
          <w:p>
            <w:pPr>
              <w:spacing w:after="0"/>
              <w:rPr>
                <w:sz w:val="11"/>
                <w:szCs w:val="11"/>
                <w:color w:val="auto"/>
              </w:rPr>
            </w:pPr>
          </w:p>
        </w:tc>
        <w:tc>
          <w:tcPr>
            <w:tcW w:w="80" w:type="dxa"/>
            <w:vAlign w:val="bottom"/>
            <w:tcBorders>
              <w:left w:val="single" w:sz="8" w:color="E7E7E2"/>
            </w:tcBorders>
          </w:tcPr>
          <w:p>
            <w:pPr>
              <w:spacing w:after="0"/>
              <w:rPr>
                <w:sz w:val="11"/>
                <w:szCs w:val="11"/>
                <w:color w:val="auto"/>
              </w:rPr>
            </w:pPr>
          </w:p>
        </w:tc>
        <w:tc>
          <w:tcPr>
            <w:tcW w:w="5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96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40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80" w:type="dxa"/>
            <w:vAlign w:val="bottom"/>
            <w:tcBorders>
              <w:left w:val="single" w:sz="8" w:color="E7E7E2"/>
            </w:tcBorders>
          </w:tcPr>
          <w:p>
            <w:pPr>
              <w:spacing w:after="0"/>
              <w:rPr>
                <w:sz w:val="8"/>
                <w:szCs w:val="8"/>
                <w:color w:val="auto"/>
              </w:rPr>
            </w:pPr>
          </w:p>
        </w:tc>
        <w:tc>
          <w:tcPr>
            <w:tcW w:w="5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5"/>
          </w:tcPr>
          <w:p>
            <w:pPr>
              <w:jc w:val="center"/>
              <w:ind w:left="114"/>
              <w:spacing w:after="0"/>
              <w:rPr>
                <w:sz w:val="20"/>
                <w:szCs w:val="20"/>
                <w:color w:val="auto"/>
              </w:rPr>
            </w:pPr>
            <w:r>
              <w:rPr>
                <w:rFonts w:ascii="Arial" w:cs="Arial" w:eastAsia="Arial" w:hAnsi="Arial"/>
                <w:sz w:val="17"/>
                <w:szCs w:val="17"/>
                <w:b w:val="1"/>
                <w:bCs w:val="1"/>
                <w:color w:val="auto"/>
              </w:rPr>
              <w:t>Rule 457(p)</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spacing w:after="0" w:line="18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300" w:type="dxa"/>
            <w:vAlign w:val="bottom"/>
            <w:gridSpan w:val="2"/>
            <w:vMerge w:val="restart"/>
            <w:shd w:val="clear" w:color="auto" w:fill="E7E7E2"/>
          </w:tcPr>
          <w:p>
            <w:pPr>
              <w:spacing w:after="0"/>
              <w:rPr>
                <w:sz w:val="20"/>
                <w:szCs w:val="20"/>
                <w:color w:val="auto"/>
              </w:rPr>
            </w:pPr>
            <w:r>
              <w:rPr>
                <w:rFonts w:ascii="Arial" w:cs="Arial" w:eastAsia="Arial" w:hAnsi="Arial"/>
                <w:sz w:val="17"/>
                <w:szCs w:val="17"/>
                <w:color w:val="auto"/>
                <w:w w:val="98"/>
              </w:rPr>
              <w:t>N/A</w:t>
            </w: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00" w:type="dxa"/>
            <w:vAlign w:val="bottom"/>
            <w:tcBorders>
              <w:right w:val="single" w:sz="8" w:color="E7E7E2"/>
            </w:tcBorders>
            <w:gridSpan w:val="3"/>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80" w:type="dxa"/>
            <w:vAlign w:val="bottom"/>
            <w:shd w:val="clear" w:color="auto" w:fill="E7E7E2"/>
          </w:tcPr>
          <w:p>
            <w:pPr>
              <w:spacing w:after="0"/>
              <w:rPr>
                <w:sz w:val="16"/>
                <w:szCs w:val="16"/>
                <w:color w:val="auto"/>
              </w:rPr>
            </w:pPr>
          </w:p>
        </w:tc>
        <w:tc>
          <w:tcPr>
            <w:tcW w:w="520" w:type="dxa"/>
            <w:vAlign w:val="bottom"/>
            <w:gridSpan w:val="4"/>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880" w:type="dxa"/>
            <w:vAlign w:val="bottom"/>
            <w:gridSpan w:val="2"/>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80" w:type="dxa"/>
            <w:vAlign w:val="bottom"/>
            <w:tcBorders>
              <w:left w:val="single" w:sz="8" w:color="E7E7E2"/>
            </w:tcBorders>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6"/>
                <w:szCs w:val="16"/>
                <w:color w:val="auto"/>
              </w:rPr>
            </w:pPr>
          </w:p>
        </w:tc>
        <w:tc>
          <w:tcPr>
            <w:tcW w:w="960" w:type="dxa"/>
            <w:vAlign w:val="bottom"/>
            <w:gridSpan w:val="3"/>
            <w:vMerge w:val="restart"/>
            <w:shd w:val="clear" w:color="auto" w:fill="E7E7E2"/>
          </w:tcPr>
          <w:p>
            <w:pPr>
              <w:ind w:left="6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1"/>
              </w:rPr>
              <w:t>N/A</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9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12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shd w:val="clear" w:color="auto" w:fill="E7E7E2"/>
          </w:tcPr>
          <w:p>
            <w:pPr>
              <w:spacing w:after="0"/>
              <w:rPr>
                <w:sz w:val="11"/>
                <w:szCs w:val="11"/>
                <w:color w:val="auto"/>
              </w:rPr>
            </w:pPr>
          </w:p>
        </w:tc>
        <w:tc>
          <w:tcPr>
            <w:tcW w:w="520" w:type="dxa"/>
            <w:vAlign w:val="bottom"/>
            <w:gridSpan w:val="4"/>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vMerge w:val="continue"/>
            <w:shd w:val="clear" w:color="auto" w:fill="E7E7E2"/>
          </w:tcPr>
          <w:p>
            <w:pPr>
              <w:spacing w:after="0"/>
              <w:rPr>
                <w:sz w:val="11"/>
                <w:szCs w:val="11"/>
                <w:color w:val="auto"/>
              </w:rPr>
            </w:pPr>
          </w:p>
        </w:tc>
        <w:tc>
          <w:tcPr>
            <w:tcW w:w="80" w:type="dxa"/>
            <w:vAlign w:val="bottom"/>
            <w:tcBorders>
              <w:left w:val="single" w:sz="8" w:color="E7E7E2"/>
            </w:tcBorders>
          </w:tcPr>
          <w:p>
            <w:pPr>
              <w:spacing w:after="0"/>
              <w:rPr>
                <w:sz w:val="11"/>
                <w:szCs w:val="11"/>
                <w:color w:val="auto"/>
              </w:rPr>
            </w:pPr>
          </w:p>
        </w:tc>
        <w:tc>
          <w:tcPr>
            <w:tcW w:w="5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96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40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80" w:type="dxa"/>
            <w:vAlign w:val="bottom"/>
            <w:tcBorders>
              <w:left w:val="single" w:sz="8" w:color="E7E7E2"/>
            </w:tcBorders>
          </w:tcPr>
          <w:p>
            <w:pPr>
              <w:spacing w:after="0"/>
              <w:rPr>
                <w:sz w:val="8"/>
                <w:szCs w:val="8"/>
                <w:color w:val="auto"/>
              </w:rPr>
            </w:pPr>
          </w:p>
        </w:tc>
        <w:tc>
          <w:tcPr>
            <w:tcW w:w="5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60" w:type="dxa"/>
            <w:vAlign w:val="bottom"/>
            <w:gridSpan w:val="3"/>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300" w:type="dxa"/>
            <w:vAlign w:val="bottom"/>
            <w:gridSpan w:val="2"/>
            <w:vMerge w:val="restart"/>
            <w:shd w:val="clear" w:color="auto" w:fill="E7E7E2"/>
          </w:tcPr>
          <w:p>
            <w:pPr>
              <w:spacing w:after="0"/>
              <w:rPr>
                <w:sz w:val="20"/>
                <w:szCs w:val="20"/>
                <w:color w:val="auto"/>
              </w:rPr>
            </w:pPr>
            <w:r>
              <w:rPr>
                <w:rFonts w:ascii="Arial" w:cs="Arial" w:eastAsia="Arial" w:hAnsi="Arial"/>
                <w:sz w:val="17"/>
                <w:szCs w:val="17"/>
                <w:color w:val="auto"/>
                <w:w w:val="98"/>
              </w:rPr>
              <w:t>N/A</w:t>
            </w: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00" w:type="dxa"/>
            <w:vAlign w:val="bottom"/>
            <w:tcBorders>
              <w:right w:val="single" w:sz="8" w:color="E7E7E2"/>
            </w:tcBorders>
            <w:gridSpan w:val="3"/>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80" w:type="dxa"/>
            <w:vAlign w:val="bottom"/>
            <w:shd w:val="clear" w:color="auto" w:fill="E7E7E2"/>
          </w:tcPr>
          <w:p>
            <w:pPr>
              <w:spacing w:after="0"/>
              <w:rPr>
                <w:sz w:val="15"/>
                <w:szCs w:val="15"/>
                <w:color w:val="auto"/>
              </w:rPr>
            </w:pPr>
          </w:p>
        </w:tc>
        <w:tc>
          <w:tcPr>
            <w:tcW w:w="520" w:type="dxa"/>
            <w:vAlign w:val="bottom"/>
            <w:gridSpan w:val="4"/>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880" w:type="dxa"/>
            <w:vAlign w:val="bottom"/>
            <w:gridSpan w:val="2"/>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80" w:type="dxa"/>
            <w:vAlign w:val="bottom"/>
            <w:tcBorders>
              <w:left w:val="single" w:sz="8" w:color="E7E7E2"/>
            </w:tcBorders>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5"/>
                <w:szCs w:val="15"/>
                <w:color w:val="auto"/>
              </w:rPr>
            </w:pPr>
          </w:p>
        </w:tc>
        <w:tc>
          <w:tcPr>
            <w:tcW w:w="960" w:type="dxa"/>
            <w:vAlign w:val="bottom"/>
            <w:gridSpan w:val="3"/>
            <w:vMerge w:val="restart"/>
            <w:shd w:val="clear" w:color="auto" w:fill="E7E7E2"/>
          </w:tcPr>
          <w:p>
            <w:pPr>
              <w:ind w:left="6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1"/>
              </w:rPr>
              <w:t>N/A</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9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12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shd w:val="clear" w:color="auto" w:fill="E7E7E2"/>
          </w:tcPr>
          <w:p>
            <w:pPr>
              <w:spacing w:after="0"/>
              <w:rPr>
                <w:sz w:val="11"/>
                <w:szCs w:val="11"/>
                <w:color w:val="auto"/>
              </w:rPr>
            </w:pPr>
          </w:p>
        </w:tc>
        <w:tc>
          <w:tcPr>
            <w:tcW w:w="520" w:type="dxa"/>
            <w:vAlign w:val="bottom"/>
            <w:gridSpan w:val="4"/>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vMerge w:val="continue"/>
            <w:shd w:val="clear" w:color="auto" w:fill="E7E7E2"/>
          </w:tcPr>
          <w:p>
            <w:pPr>
              <w:spacing w:after="0"/>
              <w:rPr>
                <w:sz w:val="11"/>
                <w:szCs w:val="11"/>
                <w:color w:val="auto"/>
              </w:rPr>
            </w:pPr>
          </w:p>
        </w:tc>
        <w:tc>
          <w:tcPr>
            <w:tcW w:w="80" w:type="dxa"/>
            <w:vAlign w:val="bottom"/>
            <w:tcBorders>
              <w:left w:val="single" w:sz="8" w:color="E7E7E2"/>
            </w:tcBorders>
          </w:tcPr>
          <w:p>
            <w:pPr>
              <w:spacing w:after="0"/>
              <w:rPr>
                <w:sz w:val="11"/>
                <w:szCs w:val="11"/>
                <w:color w:val="auto"/>
              </w:rPr>
            </w:pPr>
          </w:p>
        </w:tc>
        <w:tc>
          <w:tcPr>
            <w:tcW w:w="5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96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40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80" w:type="dxa"/>
            <w:vAlign w:val="bottom"/>
            <w:tcBorders>
              <w:left w:val="single" w:sz="8" w:color="E7E7E2"/>
            </w:tcBorders>
          </w:tcPr>
          <w:p>
            <w:pPr>
              <w:spacing w:after="0"/>
              <w:rPr>
                <w:sz w:val="8"/>
                <w:szCs w:val="8"/>
                <w:color w:val="auto"/>
              </w:rPr>
            </w:pPr>
          </w:p>
        </w:tc>
        <w:tc>
          <w:tcPr>
            <w:tcW w:w="5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0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6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right w:val="single" w:sz="8" w:color="9ADAF6"/>
            </w:tcBorders>
            <w:shd w:val="clear" w:color="auto" w:fill="9ADAF6"/>
          </w:tcPr>
          <w:p>
            <w:pPr>
              <w:spacing w:after="0"/>
              <w:rPr>
                <w:sz w:val="17"/>
                <w:szCs w:val="17"/>
                <w:color w:val="auto"/>
              </w:rPr>
            </w:pPr>
          </w:p>
        </w:tc>
        <w:tc>
          <w:tcPr>
            <w:tcW w:w="840" w:type="dxa"/>
            <w:vAlign w:val="bottom"/>
            <w:gridSpan w:val="4"/>
            <w:shd w:val="clear" w:color="auto" w:fill="9ADAF6"/>
          </w:tcPr>
          <w:p>
            <w:pPr>
              <w:spacing w:after="0"/>
              <w:rPr>
                <w:sz w:val="20"/>
                <w:szCs w:val="20"/>
                <w:color w:val="auto"/>
              </w:rPr>
            </w:pPr>
            <w:r>
              <w:rPr>
                <w:rFonts w:ascii="Arial" w:cs="Arial" w:eastAsia="Arial" w:hAnsi="Arial"/>
                <w:sz w:val="17"/>
                <w:szCs w:val="17"/>
                <w:b w:val="1"/>
                <w:bCs w:val="1"/>
                <w:color w:val="auto"/>
                <w:w w:val="96"/>
              </w:rPr>
              <w:t>Amount of</w:t>
            </w:r>
          </w:p>
        </w:tc>
        <w:tc>
          <w:tcPr>
            <w:tcW w:w="3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1900" w:type="dxa"/>
            <w:vAlign w:val="bottom"/>
            <w:gridSpan w:val="5"/>
            <w:shd w:val="clear" w:color="auto" w:fill="9ADAF6"/>
          </w:tcPr>
          <w:p>
            <w:pPr>
              <w:jc w:val="center"/>
              <w:ind w:right="14"/>
              <w:spacing w:after="0"/>
              <w:rPr>
                <w:sz w:val="20"/>
                <w:szCs w:val="20"/>
                <w:color w:val="auto"/>
              </w:rPr>
            </w:pPr>
            <w:r>
              <w:rPr>
                <w:rFonts w:ascii="Arial" w:cs="Arial" w:eastAsia="Arial" w:hAnsi="Arial"/>
                <w:sz w:val="17"/>
                <w:szCs w:val="17"/>
                <w:b w:val="1"/>
                <w:bCs w:val="1"/>
                <w:color w:val="auto"/>
              </w:rPr>
              <w:t>Maximum Aggregate</w:t>
            </w:r>
          </w:p>
        </w:tc>
        <w:tc>
          <w:tcPr>
            <w:tcW w:w="40" w:type="dxa"/>
            <w:vAlign w:val="bottom"/>
          </w:tcPr>
          <w:p>
            <w:pPr>
              <w:spacing w:after="0"/>
              <w:rPr>
                <w:sz w:val="17"/>
                <w:szCs w:val="17"/>
                <w:color w:val="auto"/>
              </w:rPr>
            </w:pPr>
          </w:p>
        </w:tc>
        <w:tc>
          <w:tcPr>
            <w:tcW w:w="80" w:type="dxa"/>
            <w:vAlign w:val="bottom"/>
            <w:tcBorders>
              <w:left w:val="single" w:sz="8" w:color="9ADAF6"/>
            </w:tcBorders>
            <w:shd w:val="clear" w:color="auto" w:fill="9ADAF6"/>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Borders>
              <w:right w:val="single" w:sz="8" w:color="9ADAF6"/>
            </w:tcBorders>
            <w:shd w:val="clear" w:color="auto" w:fill="9ADAF6"/>
          </w:tcPr>
          <w:p>
            <w:pPr>
              <w:spacing w:after="0"/>
              <w:rPr>
                <w:sz w:val="8"/>
                <w:szCs w:val="8"/>
                <w:color w:val="auto"/>
              </w:rPr>
            </w:pPr>
          </w:p>
        </w:tc>
        <w:tc>
          <w:tcPr>
            <w:tcW w:w="840" w:type="dxa"/>
            <w:vAlign w:val="bottom"/>
            <w:gridSpan w:val="4"/>
            <w:vMerge w:val="restart"/>
            <w:shd w:val="clear" w:color="auto" w:fill="9ADAF6"/>
          </w:tcPr>
          <w:p>
            <w:pPr>
              <w:spacing w:after="0" w:line="193"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00" w:type="dxa"/>
            <w:vAlign w:val="bottom"/>
            <w:gridSpan w:val="3"/>
            <w:vMerge w:val="restart"/>
            <w:shd w:val="clear" w:color="auto" w:fill="9ADAF6"/>
          </w:tcPr>
          <w:p>
            <w:pPr>
              <w:jc w:val="center"/>
              <w:ind w:right="94"/>
              <w:spacing w:after="0" w:line="193" w:lineRule="exact"/>
              <w:rPr>
                <w:sz w:val="20"/>
                <w:szCs w:val="20"/>
                <w:color w:val="auto"/>
              </w:rPr>
            </w:pPr>
            <w:r>
              <w:rPr>
                <w:rFonts w:ascii="Arial" w:cs="Arial" w:eastAsia="Arial" w:hAnsi="Arial"/>
                <w:sz w:val="17"/>
                <w:szCs w:val="17"/>
                <w:b w:val="1"/>
                <w:bCs w:val="1"/>
                <w:color w:val="auto"/>
              </w:rPr>
              <w:t>Offering Price of</w:t>
            </w:r>
          </w:p>
        </w:tc>
        <w:tc>
          <w:tcPr>
            <w:tcW w:w="40" w:type="dxa"/>
            <w:vAlign w:val="bottom"/>
          </w:tcPr>
          <w:p>
            <w:pPr>
              <w:spacing w:after="0"/>
              <w:rPr>
                <w:sz w:val="8"/>
                <w:szCs w:val="8"/>
                <w:color w:val="auto"/>
              </w:rPr>
            </w:pPr>
          </w:p>
        </w:tc>
        <w:tc>
          <w:tcPr>
            <w:tcW w:w="80" w:type="dxa"/>
            <w:vAlign w:val="bottom"/>
            <w:tcBorders>
              <w:left w:val="single" w:sz="8" w:color="9ADAF6"/>
            </w:tcBorders>
            <w:shd w:val="clear" w:color="auto" w:fill="9ADAF6"/>
          </w:tcPr>
          <w:p>
            <w:pPr>
              <w:spacing w:after="0"/>
              <w:rPr>
                <w:sz w:val="8"/>
                <w:szCs w:val="8"/>
                <w:color w:val="auto"/>
              </w:rPr>
            </w:pPr>
          </w:p>
        </w:tc>
        <w:tc>
          <w:tcPr>
            <w:tcW w:w="580" w:type="dxa"/>
            <w:vAlign w:val="bottom"/>
            <w:vMerge w:val="restart"/>
            <w:shd w:val="clear" w:color="auto" w:fill="9ADAF6"/>
          </w:tcPr>
          <w:p>
            <w:pPr>
              <w:jc w:val="center"/>
              <w:ind w:right="14"/>
              <w:spacing w:after="0" w:line="193"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3"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20" w:type="dxa"/>
            <w:vAlign w:val="bottom"/>
            <w:gridSpan w:val="5"/>
            <w:vMerge w:val="restart"/>
            <w:shd w:val="clear" w:color="auto" w:fill="9ADAF6"/>
          </w:tcPr>
          <w:p>
            <w:pPr>
              <w:ind w:left="620"/>
              <w:spacing w:after="0" w:line="193"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Borders>
              <w:right w:val="single" w:sz="8" w:color="9ADAF6"/>
            </w:tcBorders>
            <w:shd w:val="clear" w:color="auto" w:fill="9ADAF6"/>
          </w:tcPr>
          <w:p>
            <w:pPr>
              <w:spacing w:after="0"/>
              <w:rPr>
                <w:sz w:val="8"/>
                <w:szCs w:val="8"/>
                <w:color w:val="auto"/>
              </w:rPr>
            </w:pPr>
          </w:p>
        </w:tc>
        <w:tc>
          <w:tcPr>
            <w:tcW w:w="840" w:type="dxa"/>
            <w:vAlign w:val="bottom"/>
            <w:gridSpan w:val="4"/>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00" w:type="dxa"/>
            <w:vAlign w:val="bottom"/>
            <w:gridSpan w:val="3"/>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left w:val="single" w:sz="8" w:color="9ADAF6"/>
            </w:tcBorders>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93" w:lineRule="exact"/>
              <w:rPr>
                <w:sz w:val="20"/>
                <w:szCs w:val="20"/>
                <w:color w:val="auto"/>
              </w:rPr>
            </w:pPr>
            <w:r>
              <w:rPr>
                <w:rFonts w:ascii="Arial" w:cs="Arial" w:eastAsia="Arial" w:hAnsi="Arial"/>
                <w:sz w:val="17"/>
                <w:szCs w:val="17"/>
                <w:b w:val="1"/>
                <w:bCs w:val="1"/>
                <w:color w:val="auto"/>
              </w:rPr>
              <w:t>File Number</w:t>
            </w:r>
          </w:p>
        </w:tc>
        <w:tc>
          <w:tcPr>
            <w:tcW w:w="4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40"/>
              <w:spacing w:after="0" w:line="193"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2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Borders>
              <w:right w:val="single" w:sz="8" w:color="9ADAF6"/>
            </w:tcBorders>
            <w:shd w:val="clear" w:color="auto" w:fill="9ADAF6"/>
          </w:tcPr>
          <w:p>
            <w:pPr>
              <w:spacing w:after="0"/>
              <w:rPr>
                <w:sz w:val="8"/>
                <w:szCs w:val="8"/>
                <w:color w:val="auto"/>
              </w:rPr>
            </w:pPr>
          </w:p>
        </w:tc>
        <w:tc>
          <w:tcPr>
            <w:tcW w:w="840" w:type="dxa"/>
            <w:vAlign w:val="bottom"/>
            <w:gridSpan w:val="4"/>
            <w:vMerge w:val="restart"/>
            <w:shd w:val="clear" w:color="auto" w:fill="9ADAF6"/>
          </w:tcPr>
          <w:p>
            <w:pPr>
              <w:spacing w:after="0" w:line="193" w:lineRule="exact"/>
              <w:rPr>
                <w:sz w:val="20"/>
                <w:szCs w:val="20"/>
                <w:color w:val="auto"/>
              </w:rPr>
            </w:pPr>
            <w:r>
              <w:rPr>
                <w:rFonts w:ascii="Arial" w:cs="Arial" w:eastAsia="Arial" w:hAnsi="Arial"/>
                <w:sz w:val="17"/>
                <w:szCs w:val="17"/>
                <w:b w:val="1"/>
                <w:bCs w:val="1"/>
                <w:color w:val="auto"/>
                <w:w w:val="95"/>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1900" w:type="dxa"/>
            <w:vAlign w:val="bottom"/>
            <w:gridSpan w:val="5"/>
            <w:vMerge w:val="restart"/>
            <w:shd w:val="clear" w:color="auto" w:fill="9ADAF6"/>
          </w:tcPr>
          <w:p>
            <w:pPr>
              <w:jc w:val="center"/>
              <w:ind w:right="14"/>
              <w:spacing w:after="0" w:line="193" w:lineRule="exact"/>
              <w:rPr>
                <w:sz w:val="20"/>
                <w:szCs w:val="20"/>
                <w:color w:val="auto"/>
              </w:rPr>
            </w:pPr>
            <w:r>
              <w:rPr>
                <w:rFonts w:ascii="Arial" w:cs="Arial" w:eastAsia="Arial" w:hAnsi="Arial"/>
                <w:sz w:val="17"/>
                <w:szCs w:val="17"/>
                <w:b w:val="1"/>
                <w:bCs w:val="1"/>
                <w:color w:val="auto"/>
                <w:w w:val="99"/>
              </w:rPr>
              <w:t>Securities Previously</w:t>
            </w:r>
          </w:p>
        </w:tc>
        <w:tc>
          <w:tcPr>
            <w:tcW w:w="40" w:type="dxa"/>
            <w:vAlign w:val="bottom"/>
          </w:tcPr>
          <w:p>
            <w:pPr>
              <w:spacing w:after="0"/>
              <w:rPr>
                <w:sz w:val="8"/>
                <w:szCs w:val="8"/>
                <w:color w:val="auto"/>
              </w:rPr>
            </w:pPr>
          </w:p>
        </w:tc>
        <w:tc>
          <w:tcPr>
            <w:tcW w:w="80" w:type="dxa"/>
            <w:vAlign w:val="bottom"/>
            <w:tcBorders>
              <w:left w:val="single" w:sz="8" w:color="9ADAF6"/>
            </w:tcBorders>
            <w:shd w:val="clear" w:color="auto" w:fill="9ADAF6"/>
          </w:tcPr>
          <w:p>
            <w:pPr>
              <w:spacing w:after="0"/>
              <w:rPr>
                <w:sz w:val="8"/>
                <w:szCs w:val="8"/>
                <w:color w:val="auto"/>
              </w:rPr>
            </w:pPr>
          </w:p>
        </w:tc>
        <w:tc>
          <w:tcPr>
            <w:tcW w:w="580" w:type="dxa"/>
            <w:vAlign w:val="bottom"/>
            <w:vMerge w:val="restart"/>
            <w:shd w:val="clear" w:color="auto" w:fill="9ADAF6"/>
          </w:tcPr>
          <w:p>
            <w:pPr>
              <w:jc w:val="center"/>
              <w:ind w:right="14"/>
              <w:spacing w:after="0" w:line="193"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Borders>
              <w:right w:val="single" w:sz="8" w:color="9ADAF6"/>
            </w:tcBorders>
            <w:shd w:val="clear" w:color="auto" w:fill="9ADAF6"/>
          </w:tcPr>
          <w:p>
            <w:pPr>
              <w:spacing w:after="0"/>
              <w:rPr>
                <w:sz w:val="8"/>
                <w:szCs w:val="8"/>
                <w:color w:val="auto"/>
              </w:rPr>
            </w:pPr>
          </w:p>
        </w:tc>
        <w:tc>
          <w:tcPr>
            <w:tcW w:w="840" w:type="dxa"/>
            <w:vAlign w:val="bottom"/>
            <w:gridSpan w:val="4"/>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1900" w:type="dxa"/>
            <w:vAlign w:val="bottom"/>
            <w:gridSpan w:val="5"/>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left w:val="single" w:sz="8" w:color="9ADAF6"/>
            </w:tcBorders>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4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2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right w:val="single" w:sz="8" w:color="9ADAF6"/>
            </w:tcBorders>
            <w:shd w:val="clear" w:color="auto" w:fill="9ADAF6"/>
          </w:tcPr>
          <w:p>
            <w:pPr>
              <w:spacing w:after="0"/>
              <w:rPr>
                <w:sz w:val="12"/>
                <w:szCs w:val="12"/>
                <w:color w:val="auto"/>
              </w:rPr>
            </w:pPr>
          </w:p>
        </w:tc>
        <w:tc>
          <w:tcPr>
            <w:tcW w:w="840" w:type="dxa"/>
            <w:vAlign w:val="bottom"/>
            <w:gridSpan w:val="4"/>
            <w:vMerge w:val="restart"/>
            <w:shd w:val="clear" w:color="auto" w:fill="9ADAF6"/>
          </w:tcPr>
          <w:p>
            <w:pPr>
              <w:spacing w:after="0"/>
              <w:rPr>
                <w:sz w:val="20"/>
                <w:szCs w:val="20"/>
                <w:color w:val="auto"/>
              </w:rPr>
            </w:pPr>
            <w:r>
              <w:rPr>
                <w:rFonts w:ascii="Arial" w:cs="Arial" w:eastAsia="Arial" w:hAnsi="Arial"/>
                <w:sz w:val="17"/>
                <w:szCs w:val="17"/>
                <w:b w:val="1"/>
                <w:bCs w:val="1"/>
                <w:color w:val="auto"/>
                <w:w w:val="93"/>
              </w:rPr>
              <w:t>Registered</w:t>
            </w:r>
          </w:p>
        </w:tc>
        <w:tc>
          <w:tcPr>
            <w:tcW w:w="3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9ADAF6"/>
          </w:tcPr>
          <w:p>
            <w:pPr>
              <w:spacing w:after="0"/>
              <w:rPr>
                <w:sz w:val="12"/>
                <w:szCs w:val="12"/>
                <w:color w:val="auto"/>
              </w:rPr>
            </w:pPr>
          </w:p>
        </w:tc>
        <w:tc>
          <w:tcPr>
            <w:tcW w:w="8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1800" w:type="dxa"/>
            <w:vAlign w:val="bottom"/>
            <w:gridSpan w:val="3"/>
            <w:vMerge w:val="restart"/>
            <w:shd w:val="clear" w:color="auto" w:fill="9ADAF6"/>
          </w:tcPr>
          <w:p>
            <w:pPr>
              <w:jc w:val="center"/>
              <w:ind w:right="114"/>
              <w:spacing w:after="0"/>
              <w:rPr>
                <w:sz w:val="20"/>
                <w:szCs w:val="20"/>
                <w:color w:val="auto"/>
              </w:rPr>
            </w:pPr>
            <w:r>
              <w:rPr>
                <w:rFonts w:ascii="Arial" w:cs="Arial" w:eastAsia="Arial" w:hAnsi="Arial"/>
                <w:sz w:val="17"/>
                <w:szCs w:val="17"/>
                <w:b w:val="1"/>
                <w:bCs w:val="1"/>
                <w:color w:val="auto"/>
              </w:rPr>
              <w:t>Registered</w:t>
            </w:r>
          </w:p>
        </w:tc>
        <w:tc>
          <w:tcPr>
            <w:tcW w:w="40" w:type="dxa"/>
            <w:vAlign w:val="bottom"/>
          </w:tcPr>
          <w:p>
            <w:pPr>
              <w:spacing w:after="0"/>
              <w:rPr>
                <w:sz w:val="12"/>
                <w:szCs w:val="12"/>
                <w:color w:val="auto"/>
              </w:rPr>
            </w:pPr>
          </w:p>
        </w:tc>
        <w:tc>
          <w:tcPr>
            <w:tcW w:w="80" w:type="dxa"/>
            <w:vAlign w:val="bottom"/>
            <w:tcBorders>
              <w:left w:val="single" w:sz="8" w:color="9ADAF6"/>
            </w:tcBorders>
            <w:shd w:val="clear" w:color="auto" w:fill="9ADAF6"/>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40" w:type="dxa"/>
            <w:vAlign w:val="bottom"/>
            <w:shd w:val="clear" w:color="auto" w:fill="9ADAF6"/>
          </w:tcPr>
          <w:p>
            <w:pPr>
              <w:spacing w:after="0"/>
              <w:rPr>
                <w:sz w:val="12"/>
                <w:szCs w:val="12"/>
                <w:color w:val="auto"/>
              </w:rPr>
            </w:pPr>
          </w:p>
        </w:tc>
        <w:tc>
          <w:tcPr>
            <w:tcW w:w="72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00" w:type="dxa"/>
            <w:vAlign w:val="bottom"/>
            <w:tcBorders>
              <w:right w:val="single" w:sz="8" w:color="auto"/>
            </w:tcBorders>
            <w:gridSpan w:val="2"/>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Borders>
              <w:right w:val="single" w:sz="8" w:color="9ADAF6"/>
            </w:tcBorders>
            <w:shd w:val="clear" w:color="auto" w:fill="9ADAF6"/>
          </w:tcPr>
          <w:p>
            <w:pPr>
              <w:spacing w:after="0"/>
              <w:rPr>
                <w:sz w:val="7"/>
                <w:szCs w:val="7"/>
                <w:color w:val="auto"/>
              </w:rPr>
            </w:pPr>
          </w:p>
        </w:tc>
        <w:tc>
          <w:tcPr>
            <w:tcW w:w="840" w:type="dxa"/>
            <w:vAlign w:val="bottom"/>
            <w:gridSpan w:val="4"/>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800" w:type="dxa"/>
            <w:vAlign w:val="bottom"/>
            <w:gridSpan w:val="3"/>
            <w:vMerge w:val="continue"/>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left w:val="single" w:sz="8" w:color="9ADAF6"/>
            </w:tcBorders>
            <w:shd w:val="clear" w:color="auto" w:fill="9ADAF6"/>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0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righ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80" w:type="dxa"/>
            <w:vAlign w:val="bottom"/>
            <w:shd w:val="clear" w:color="auto" w:fill="E7E7E2"/>
          </w:tcPr>
          <w:p>
            <w:pPr>
              <w:spacing w:after="0"/>
              <w:rPr>
                <w:sz w:val="18"/>
                <w:szCs w:val="18"/>
                <w:color w:val="auto"/>
              </w:rPr>
            </w:pPr>
          </w:p>
        </w:tc>
        <w:tc>
          <w:tcPr>
            <w:tcW w:w="32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40" w:type="dxa"/>
            <w:vAlign w:val="bottom"/>
            <w:shd w:val="clear" w:color="auto" w:fill="E7E7E2"/>
          </w:tcPr>
          <w:p>
            <w:pPr>
              <w:ind w:left="560"/>
              <w:spacing w:after="0"/>
              <w:rPr>
                <w:sz w:val="20"/>
                <w:szCs w:val="20"/>
                <w:color w:val="auto"/>
              </w:rPr>
            </w:pPr>
            <w:r>
              <w:rPr>
                <w:rFonts w:ascii="Arial" w:cs="Arial" w:eastAsia="Arial" w:hAnsi="Arial"/>
                <w:sz w:val="17"/>
                <w:szCs w:val="17"/>
                <w:color w:val="auto"/>
                <w:w w:val="91"/>
              </w:rPr>
              <w:t>N/A</w:t>
            </w:r>
          </w:p>
        </w:tc>
        <w:tc>
          <w:tcPr>
            <w:tcW w:w="40" w:type="dxa"/>
            <w:vAlign w:val="bottom"/>
            <w:vMerge w:val="continue"/>
          </w:tcPr>
          <w:p>
            <w:pPr>
              <w:spacing w:after="0"/>
              <w:rPr>
                <w:sz w:val="18"/>
                <w:szCs w:val="18"/>
                <w:color w:val="auto"/>
              </w:rPr>
            </w:pPr>
          </w:p>
        </w:tc>
        <w:tc>
          <w:tcPr>
            <w:tcW w:w="80" w:type="dxa"/>
            <w:vAlign w:val="bottom"/>
            <w:tcBorders>
              <w:left w:val="single" w:sz="8" w:color="E7E7E2"/>
            </w:tcBorders>
            <w:shd w:val="clear" w:color="auto" w:fill="E7E7E2"/>
          </w:tcPr>
          <w:p>
            <w:pPr>
              <w:spacing w:after="0"/>
              <w:rPr>
                <w:sz w:val="18"/>
                <w:szCs w:val="18"/>
                <w:color w:val="auto"/>
              </w:rPr>
            </w:pPr>
          </w:p>
        </w:tc>
        <w:tc>
          <w:tcPr>
            <w:tcW w:w="580" w:type="dxa"/>
            <w:vAlign w:val="bottom"/>
            <w:shd w:val="clear" w:color="auto" w:fill="E7E7E2"/>
          </w:tcPr>
          <w:p>
            <w:pPr>
              <w:jc w:val="center"/>
              <w:ind w:right="14"/>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40" w:type="dxa"/>
            <w:vAlign w:val="bottom"/>
            <w:shd w:val="clear" w:color="auto" w:fill="E7E7E2"/>
          </w:tcPr>
          <w:p>
            <w:pPr>
              <w:spacing w:after="0"/>
              <w:rPr>
                <w:sz w:val="18"/>
                <w:szCs w:val="18"/>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40" w:type="dxa"/>
            <w:vAlign w:val="bottom"/>
            <w:vMerge w:val="continue"/>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00" w:type="dxa"/>
            <w:vAlign w:val="bottom"/>
            <w:tcBorders>
              <w:right w:val="single" w:sz="8" w:color="auto"/>
            </w:tcBorders>
            <w:gridSpan w:val="2"/>
            <w:shd w:val="clear" w:color="auto" w:fill="E7E7E2"/>
          </w:tcPr>
          <w:p>
            <w:pPr>
              <w:jc w:val="center"/>
              <w:ind w:right="26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1"/>
    </w:lvl>
    <w:lvl w:ilvl="1">
      <w:lvlJc w:val="left"/>
      <w:lvlText w:val="(%2)"/>
      <w:numFmt w:val="lowerLetter"/>
      <w:start w:val="1"/>
    </w:lvl>
  </w:abstractNum>
  <w:abstractNum w:abstractNumId="7">
    <w:nsid w:val="79838CB2"/>
    <w:multiLevelType w:val="hybridMultilevel"/>
    <w:lvl w:ilvl="0">
      <w:lvlJc w:val="left"/>
      <w:lvlText w:val="(%1)"/>
      <w:numFmt w:val="lowerLetter"/>
      <w:start w:val="1"/>
    </w:lvl>
  </w:abstractNum>
  <w:abstractNum w:abstractNumId="8">
    <w:nsid w:val="4353D0CD"/>
    <w:multiLevelType w:val="hybridMultilevel"/>
    <w:lvl w:ilvl="0">
      <w:lvlJc w:val="left"/>
      <w:lvlText w:val="(%1)"/>
      <w:numFmt w:val="lowerLetter"/>
      <w:start w:val="2"/>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9"/>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6">
    <w:nsid w:val="419AC241"/>
    <w:multiLevelType w:val="hybridMultilevel"/>
    <w:lvl w:ilvl="0">
      <w:lvlJc w:val="left"/>
      <w:lvlText w:val="(%1)"/>
      <w:numFmt w:val="decimal"/>
      <w:start w:val="2"/>
    </w:lvl>
    <w:lvl w:ilvl="1">
      <w:lvlJc w:val="left"/>
      <w:lvlText w:val="(%2)"/>
      <w:numFmt w:val="lowerRoman"/>
      <w:start w:val="1"/>
    </w:lvl>
  </w:abstractNum>
  <w:abstractNum w:abstractNumId="27">
    <w:nsid w:val="5577F8E1"/>
    <w:multiLevelType w:val="hybridMultilevel"/>
    <w:lvl w:ilvl="0">
      <w:lvlJc w:val="left"/>
      <w:lvlText w:val="(%1)"/>
      <w:numFmt w:val="lowerRoman"/>
      <w:start w:val="1"/>
    </w:lvl>
  </w:abstractNum>
  <w:abstractNum w:abstractNumId="28">
    <w:nsid w:val="440BADFC"/>
    <w:multiLevelType w:val="hybridMultilevel"/>
    <w:lvl w:ilvl="0">
      <w:lvlJc w:val="left"/>
      <w:lvlText w:val="(%1)"/>
      <w:numFmt w:val="lowerLetter"/>
      <w:start w:val="2"/>
    </w:lvl>
  </w:abstractNum>
  <w:abstractNum w:abstractNumId="29">
    <w:nsid w:val="5072367"/>
    <w:multiLevelType w:val="hybridMultilevel"/>
    <w:lvl w:ilvl="0">
      <w:lvlJc w:val="left"/>
      <w:lvlText w:val="%1"/>
      <w:numFmt w:val="decimal"/>
      <w:start w:val="107"/>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1."/>
      <w:numFmt w:val="upperLetter"/>
      <w:start w:val="1"/>
    </w:lvl>
  </w:abstractNum>
  <w:abstractNum w:abstractNumId="32">
    <w:nsid w:val="7724C67E"/>
    <w:multiLevelType w:val="hybridMultilevel"/>
    <w:lvl w:ilvl="0">
      <w:lvlJc w:val="left"/>
      <w:lvlText w:val="%1."/>
      <w:numFmt w:val="upperLetter"/>
      <w:start w:val="5"/>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bullet"/>
      <w:start w:val="1"/>
    </w:lvl>
  </w:abstractNum>
  <w:abstractNum w:abstractNumId="36">
    <w:nsid w:val="51EAD36B"/>
    <w:multiLevelType w:val="hybridMultilevel"/>
    <w:lvl w:ilvl="0">
      <w:lvlJc w:val="left"/>
      <w:lvlText w:val="2"/>
      <w:numFmt w:val="bullet"/>
      <w:start w:val="1"/>
    </w:lvl>
  </w:abstractNum>
  <w:abstractNum w:abstractNumId="37">
    <w:nsid w:val="2D517796"/>
    <w:multiLevelType w:val="hybridMultilevel"/>
    <w:lvl w:ilvl="0">
      <w:lvlJc w:val="left"/>
      <w:lvlText w:val="3"/>
      <w:numFmt w:val="bullet"/>
      <w:start w:val="1"/>
    </w:lvl>
  </w:abstractNum>
  <w:abstractNum w:abstractNumId="38">
    <w:nsid w:val="580BD78F"/>
    <w:multiLevelType w:val="hybridMultilevel"/>
    <w:lvl w:ilvl="0">
      <w:lvlJc w:val="left"/>
      <w:lvlText w:val="4"/>
      <w:numFmt w:val="bullet"/>
      <w:start w:val="1"/>
    </w:lvl>
  </w:abstractNum>
  <w:abstractNum w:abstractNumId="39">
    <w:nsid w:val="153EA438"/>
    <w:multiLevelType w:val="hybridMultilevel"/>
    <w:lvl w:ilvl="0">
      <w:lvlJc w:val="left"/>
      <w:lvlText w:val="5"/>
      <w:numFmt w:val="bullet"/>
      <w:start w:val="1"/>
    </w:lvl>
  </w:abstractNum>
  <w:abstractNum w:abstractNumId="40">
    <w:nsid w:val="3855585C"/>
    <w:multiLevelType w:val="hybridMultilevel"/>
    <w:lvl w:ilvl="0">
      <w:lvlJc w:val="left"/>
      <w:lvlText w:val="6"/>
      <w:numFmt w:val="bullet"/>
      <w:start w:val="1"/>
    </w:lvl>
  </w:abstractNum>
  <w:abstractNum w:abstractNumId="41">
    <w:nsid w:val="70A64E2A"/>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53" Type="http://schemas.openxmlformats.org/officeDocument/2006/relationships/hyperlink" Target="http://www.sec.gov/ix?doc=/Archives/edgar/data/1832466/000162828026012545/alhc-20251231.htm" TargetMode="External"/><Relationship Id="rId54" Type="http://schemas.openxmlformats.org/officeDocument/2006/relationships/hyperlink" Target="http://www.sec.gov/ix?doc=/Archives/edgar/data/1832466/000162828025019952/alhc-20250425.htm" TargetMode="External"/><Relationship Id="rId55" Type="http://schemas.openxmlformats.org/officeDocument/2006/relationships/hyperlink" Target="http://www.sec.gov/ix?doc=/Archives/edgar/data/0001832466/000162828025008730/alhc-20241231.htm" TargetMode="External"/><Relationship Id="rId56" Type="http://schemas.openxmlformats.org/officeDocument/2006/relationships/hyperlink" Target="http://www.sec.gov/Archives/edgar/data/1832466/000095017022002810/alhc-ex4_2.htm" TargetMode="External"/><Relationship Id="rId71" Type="http://schemas.openxmlformats.org/officeDocument/2006/relationships/hyperlink" Target="http://www.sec.gov/Archives/edgar/data/1832466/000119312521100476/d292883dex31.htm" TargetMode="External"/><Relationship Id="rId72" Type="http://schemas.openxmlformats.org/officeDocument/2006/relationships/hyperlink" Target="http://www.sec.gov/Archives/edgar/data/1832466/000162828024027889/certificateofamendment-alh.htm" TargetMode="External"/><Relationship Id="rId73" Type="http://schemas.openxmlformats.org/officeDocument/2006/relationships/hyperlink" Target="http://www.sec.gov/Archives/edgar/data/1832466/000095017024021154/alhc-ex3_2.htm" TargetMode="External"/><Relationship Id="rId74" Type="http://schemas.openxmlformats.org/officeDocument/2006/relationships/hyperlink" Target="http://www.sec.gov/Archives/edgar/data/1832466/000119312522245640/d281216dex41.htm" TargetMode="External"/><Relationship Id="rId75" Type="http://schemas.openxmlformats.org/officeDocument/2006/relationships/hyperlink" Target="http://www.sec.gov/Archives/edgar/data/1832466/000119312521100476/d29288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2026-03-02T15:42:44Z</dcterms:created>
  <dcterms:modified xsi:type="dcterms:W3CDTF">2026-03-02T15:42:44Z</dcterms:modified>
</cp:coreProperties>
</file>